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422BD" w14:textId="77777777" w:rsidR="001D1372" w:rsidRPr="00DC2021" w:rsidRDefault="001D1372" w:rsidP="009B4E45">
      <w:pPr>
        <w:jc w:val="both"/>
        <w:outlineLvl w:val="0"/>
        <w:rPr>
          <w:rFonts w:asciiTheme="minorHAnsi" w:eastAsia="Calibri" w:hAnsiTheme="minorHAnsi" w:cs="Arial"/>
          <w:b/>
          <w:sz w:val="28"/>
          <w:szCs w:val="28"/>
          <w:lang w:eastAsia="en-US"/>
        </w:rPr>
      </w:pPr>
    </w:p>
    <w:p w14:paraId="7B457051" w14:textId="77777777" w:rsidR="002B39F1" w:rsidRPr="00DC2021" w:rsidRDefault="002B39F1" w:rsidP="009B4E45">
      <w:pPr>
        <w:jc w:val="both"/>
        <w:outlineLvl w:val="0"/>
        <w:rPr>
          <w:rFonts w:asciiTheme="minorHAnsi" w:eastAsia="Calibri" w:hAnsiTheme="minorHAnsi" w:cs="Arial"/>
          <w:b/>
          <w:sz w:val="28"/>
          <w:szCs w:val="28"/>
          <w:lang w:eastAsia="en-US"/>
        </w:rPr>
      </w:pPr>
      <w:r w:rsidRPr="00DC2021">
        <w:rPr>
          <w:rFonts w:asciiTheme="minorHAnsi" w:eastAsia="Calibri" w:hAnsiTheme="minorHAnsi" w:cs="Arial"/>
          <w:b/>
          <w:sz w:val="28"/>
          <w:szCs w:val="28"/>
          <w:lang w:eastAsia="en-US"/>
        </w:rPr>
        <w:t xml:space="preserve">Příloha č. </w:t>
      </w:r>
      <w:r w:rsidR="00205EE2" w:rsidRPr="00DC2021">
        <w:rPr>
          <w:rFonts w:asciiTheme="minorHAnsi" w:eastAsia="Calibri" w:hAnsiTheme="minorHAnsi" w:cs="Arial"/>
          <w:b/>
          <w:sz w:val="28"/>
          <w:szCs w:val="28"/>
          <w:lang w:eastAsia="en-US"/>
        </w:rPr>
        <w:t>4</w:t>
      </w:r>
      <w:r w:rsidRPr="00DC2021">
        <w:rPr>
          <w:rFonts w:asciiTheme="minorHAnsi" w:eastAsia="Calibri" w:hAnsiTheme="minorHAnsi" w:cs="Arial"/>
          <w:b/>
          <w:sz w:val="28"/>
          <w:szCs w:val="28"/>
          <w:lang w:eastAsia="en-US"/>
        </w:rPr>
        <w:t xml:space="preserve"> </w:t>
      </w:r>
      <w:r w:rsidR="002D4509" w:rsidRPr="00DC2021">
        <w:rPr>
          <w:rFonts w:asciiTheme="minorHAnsi" w:eastAsia="Calibri" w:hAnsiTheme="minorHAnsi" w:cs="Arial"/>
          <w:b/>
          <w:sz w:val="28"/>
          <w:szCs w:val="28"/>
          <w:lang w:eastAsia="en-US"/>
        </w:rPr>
        <w:t xml:space="preserve">zadávací </w:t>
      </w:r>
      <w:proofErr w:type="gramStart"/>
      <w:r w:rsidR="002D4509" w:rsidRPr="00DC2021">
        <w:rPr>
          <w:rFonts w:asciiTheme="minorHAnsi" w:eastAsia="Calibri" w:hAnsiTheme="minorHAnsi" w:cs="Arial"/>
          <w:b/>
          <w:sz w:val="28"/>
          <w:szCs w:val="28"/>
          <w:lang w:eastAsia="en-US"/>
        </w:rPr>
        <w:t>dokumentace</w:t>
      </w:r>
      <w:r w:rsidRPr="00DC2021">
        <w:rPr>
          <w:rFonts w:asciiTheme="minorHAnsi" w:eastAsia="Calibri" w:hAnsiTheme="minorHAnsi" w:cs="Arial"/>
          <w:b/>
          <w:sz w:val="28"/>
          <w:szCs w:val="28"/>
          <w:lang w:eastAsia="en-US"/>
        </w:rPr>
        <w:t xml:space="preserve"> - </w:t>
      </w:r>
      <w:r w:rsidR="00205EE2" w:rsidRPr="00DC2021">
        <w:rPr>
          <w:rFonts w:asciiTheme="minorHAnsi" w:eastAsia="Calibri" w:hAnsiTheme="minorHAnsi" w:cs="Arial"/>
          <w:b/>
          <w:sz w:val="28"/>
          <w:szCs w:val="28"/>
          <w:lang w:eastAsia="en-US"/>
        </w:rPr>
        <w:t>T</w:t>
      </w:r>
      <w:r w:rsidRPr="00DC2021">
        <w:rPr>
          <w:rFonts w:asciiTheme="minorHAnsi" w:eastAsia="Calibri" w:hAnsiTheme="minorHAnsi" w:cs="Arial"/>
          <w:b/>
          <w:sz w:val="28"/>
          <w:szCs w:val="28"/>
          <w:lang w:eastAsia="en-US"/>
        </w:rPr>
        <w:t>echnické</w:t>
      </w:r>
      <w:proofErr w:type="gramEnd"/>
      <w:r w:rsidRPr="00DC2021">
        <w:rPr>
          <w:rFonts w:asciiTheme="minorHAnsi" w:eastAsia="Calibri" w:hAnsiTheme="minorHAnsi" w:cs="Arial"/>
          <w:b/>
          <w:sz w:val="28"/>
          <w:szCs w:val="28"/>
          <w:lang w:eastAsia="en-US"/>
        </w:rPr>
        <w:t xml:space="preserve"> podmínky </w:t>
      </w:r>
    </w:p>
    <w:p w14:paraId="31F2D474" w14:textId="77777777" w:rsidR="00F42F2C" w:rsidRPr="00DC2021" w:rsidRDefault="00F42F2C" w:rsidP="009B4E45">
      <w:pPr>
        <w:jc w:val="both"/>
        <w:outlineLvl w:val="0"/>
        <w:rPr>
          <w:rFonts w:asciiTheme="minorHAnsi" w:eastAsia="Calibri" w:hAnsiTheme="minorHAnsi" w:cs="Arial"/>
          <w:b/>
          <w:sz w:val="28"/>
          <w:szCs w:val="28"/>
          <w:lang w:eastAsia="en-US"/>
        </w:rPr>
      </w:pPr>
    </w:p>
    <w:p w14:paraId="4BCD37E3" w14:textId="77777777" w:rsidR="00F42F2C" w:rsidRPr="00DC2021" w:rsidRDefault="00F42F2C" w:rsidP="009B4E45">
      <w:pPr>
        <w:jc w:val="both"/>
        <w:outlineLvl w:val="0"/>
        <w:rPr>
          <w:rFonts w:asciiTheme="minorHAnsi" w:eastAsia="Calibri" w:hAnsiTheme="minorHAnsi" w:cs="Arial"/>
          <w:b/>
          <w:sz w:val="28"/>
          <w:szCs w:val="28"/>
          <w:lang w:eastAsia="en-US"/>
        </w:rPr>
      </w:pPr>
      <w:r w:rsidRPr="00DC2021">
        <w:rPr>
          <w:rFonts w:asciiTheme="minorHAnsi" w:hAnsiTheme="minorHAnsi"/>
          <w:b/>
          <w:sz w:val="28"/>
          <w:szCs w:val="28"/>
        </w:rPr>
        <w:t xml:space="preserve">Vyplněná příloha č. </w:t>
      </w:r>
      <w:r w:rsidR="00205EE2" w:rsidRPr="00DC2021">
        <w:rPr>
          <w:rFonts w:asciiTheme="minorHAnsi" w:hAnsiTheme="minorHAnsi"/>
          <w:b/>
          <w:sz w:val="28"/>
          <w:szCs w:val="28"/>
        </w:rPr>
        <w:t>4</w:t>
      </w:r>
      <w:r w:rsidRPr="00DC2021">
        <w:rPr>
          <w:rFonts w:asciiTheme="minorHAnsi" w:hAnsiTheme="minorHAnsi"/>
          <w:b/>
          <w:sz w:val="28"/>
          <w:szCs w:val="28"/>
        </w:rPr>
        <w:t xml:space="preserve"> tvoří nedílnou součást nabídky účastníka zadávacího řízení.</w:t>
      </w:r>
    </w:p>
    <w:p w14:paraId="1AE5DFD3" w14:textId="77777777" w:rsidR="00074528" w:rsidRPr="00DC2021" w:rsidRDefault="00074528" w:rsidP="009B4E45">
      <w:pPr>
        <w:jc w:val="both"/>
        <w:outlineLvl w:val="0"/>
        <w:rPr>
          <w:rFonts w:asciiTheme="minorHAnsi" w:eastAsia="Calibri" w:hAnsiTheme="minorHAnsi" w:cs="Arial"/>
          <w:b/>
          <w:sz w:val="28"/>
          <w:szCs w:val="28"/>
          <w:lang w:eastAsia="en-US"/>
        </w:rPr>
      </w:pPr>
    </w:p>
    <w:p w14:paraId="7FC86BC1" w14:textId="77777777" w:rsidR="000E1014" w:rsidRPr="00DC2021" w:rsidRDefault="002B39F1" w:rsidP="00F42F2C">
      <w:pPr>
        <w:shd w:val="clear" w:color="auto" w:fill="FFD966" w:themeFill="accent4" w:themeFillTint="99"/>
        <w:jc w:val="both"/>
        <w:outlineLvl w:val="0"/>
        <w:rPr>
          <w:rFonts w:asciiTheme="minorHAnsi" w:hAnsiTheme="minorHAnsi" w:cs="Arial"/>
          <w:b/>
          <w:sz w:val="24"/>
        </w:rPr>
      </w:pPr>
      <w:r w:rsidRPr="00DC2021">
        <w:rPr>
          <w:rFonts w:asciiTheme="minorHAnsi" w:hAnsiTheme="minorHAnsi" w:cs="Arial"/>
          <w:b/>
          <w:sz w:val="24"/>
        </w:rPr>
        <w:t xml:space="preserve">Název veřejné zakázky:      </w:t>
      </w:r>
    </w:p>
    <w:p w14:paraId="46DABD9B" w14:textId="374B6900" w:rsidR="0073070F" w:rsidRPr="00DC2021" w:rsidRDefault="000970C0" w:rsidP="00F42F2C">
      <w:pPr>
        <w:shd w:val="clear" w:color="auto" w:fill="FFD966" w:themeFill="accent4" w:themeFillTint="99"/>
        <w:jc w:val="both"/>
        <w:rPr>
          <w:rFonts w:asciiTheme="minorHAnsi" w:hAnsiTheme="minorHAnsi" w:cs="Arial"/>
          <w:b/>
          <w:sz w:val="32"/>
          <w:szCs w:val="32"/>
        </w:rPr>
      </w:pPr>
      <w:r>
        <w:rPr>
          <w:rFonts w:asciiTheme="minorHAnsi" w:hAnsiTheme="minorHAnsi" w:cs="Arial"/>
          <w:b/>
          <w:sz w:val="32"/>
          <w:szCs w:val="32"/>
        </w:rPr>
        <w:t>O</w:t>
      </w:r>
      <w:r w:rsidR="0009503C">
        <w:rPr>
          <w:rFonts w:asciiTheme="minorHAnsi" w:hAnsiTheme="minorHAnsi" w:cs="Arial"/>
          <w:b/>
          <w:sz w:val="32"/>
          <w:szCs w:val="32"/>
        </w:rPr>
        <w:t>perační s</w:t>
      </w:r>
      <w:r w:rsidR="00252B43">
        <w:rPr>
          <w:rFonts w:asciiTheme="minorHAnsi" w:hAnsiTheme="minorHAnsi" w:cs="Arial"/>
          <w:b/>
          <w:sz w:val="32"/>
          <w:szCs w:val="32"/>
        </w:rPr>
        <w:t>vítidla</w:t>
      </w:r>
      <w:r w:rsidR="00474C72" w:rsidRPr="00474C72">
        <w:rPr>
          <w:rFonts w:asciiTheme="minorHAnsi" w:hAnsiTheme="minorHAnsi" w:cs="Arial"/>
          <w:b/>
          <w:sz w:val="32"/>
          <w:szCs w:val="32"/>
        </w:rPr>
        <w:t xml:space="preserve"> </w:t>
      </w:r>
    </w:p>
    <w:p w14:paraId="50A8ABC3" w14:textId="77777777" w:rsidR="00393D63" w:rsidRPr="00DC2021" w:rsidRDefault="00393D63" w:rsidP="002B39F1">
      <w:pPr>
        <w:jc w:val="both"/>
        <w:rPr>
          <w:rFonts w:asciiTheme="minorHAnsi" w:hAnsiTheme="minorHAnsi" w:cs="Arial"/>
          <w:b/>
          <w:bCs/>
          <w:sz w:val="24"/>
        </w:rPr>
      </w:pPr>
    </w:p>
    <w:p w14:paraId="71D24A7A" w14:textId="77777777"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2B802714" w14:textId="77777777" w:rsidR="00F42F2C" w:rsidRPr="00DC2021" w:rsidRDefault="00F42F2C" w:rsidP="00F42F2C">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6E67EE5F" w14:textId="77777777" w:rsidR="00F42F2C" w:rsidRPr="00DC2021" w:rsidRDefault="00F42F2C" w:rsidP="00F42F2C">
      <w:pPr>
        <w:pStyle w:val="Zkladntext2"/>
        <w:rPr>
          <w:rFonts w:asciiTheme="minorHAnsi" w:hAnsiTheme="minorHAnsi" w:cs="Arial"/>
          <w:sz w:val="22"/>
          <w:szCs w:val="22"/>
        </w:rPr>
      </w:pPr>
    </w:p>
    <w:p w14:paraId="7BE8C0C7" w14:textId="50AED457" w:rsidR="002B39F1" w:rsidRPr="001336D2" w:rsidRDefault="00EE0F79" w:rsidP="001336D2">
      <w:pPr>
        <w:pStyle w:val="Zkladntext3"/>
        <w:rPr>
          <w:rFonts w:cs="Calibri"/>
        </w:rPr>
      </w:pPr>
      <w:bookmarkStart w:id="0" w:name="_Hlk46760657"/>
      <w:r w:rsidRPr="001336D2">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0"/>
    </w:p>
    <w:p w14:paraId="2B388D54" w14:textId="77777777" w:rsidR="008E1D92" w:rsidRPr="00EE0F79" w:rsidRDefault="008E1D92" w:rsidP="00602A33">
      <w:pPr>
        <w:suppressAutoHyphens/>
        <w:spacing w:after="160" w:line="276" w:lineRule="auto"/>
        <w:contextualSpacing/>
        <w:rPr>
          <w:rFonts w:ascii="Calibri" w:hAnsi="Calibri" w:cs="Calibri"/>
          <w:sz w:val="22"/>
          <w:szCs w:val="22"/>
        </w:rPr>
      </w:pPr>
    </w:p>
    <w:p w14:paraId="33928CE2" w14:textId="615C4749" w:rsidR="008710C5" w:rsidRPr="0009503C" w:rsidRDefault="001336D2" w:rsidP="0009503C">
      <w:pPr>
        <w:pStyle w:val="Nadpis2"/>
        <w:rPr>
          <w:rFonts w:asciiTheme="minorHAnsi" w:hAnsiTheme="minorHAnsi"/>
          <w:sz w:val="28"/>
          <w:szCs w:val="28"/>
        </w:rPr>
      </w:pPr>
      <w:r>
        <w:rPr>
          <w:rFonts w:asciiTheme="minorHAnsi" w:hAnsiTheme="minorHAnsi"/>
          <w:sz w:val="28"/>
          <w:szCs w:val="28"/>
        </w:rPr>
        <w:t xml:space="preserve">A) </w:t>
      </w:r>
      <w:r w:rsidR="00602A33" w:rsidRPr="00DC2021">
        <w:rPr>
          <w:rFonts w:asciiTheme="minorHAnsi" w:hAnsiTheme="minorHAnsi"/>
          <w:sz w:val="28"/>
          <w:szCs w:val="28"/>
        </w:rPr>
        <w:t xml:space="preserve">Technické </w:t>
      </w:r>
      <w:r w:rsidR="00393D63" w:rsidRPr="00DC2021">
        <w:rPr>
          <w:rFonts w:asciiTheme="minorHAnsi" w:hAnsiTheme="minorHAnsi"/>
          <w:sz w:val="28"/>
          <w:szCs w:val="28"/>
        </w:rPr>
        <w:t>parametry</w:t>
      </w:r>
      <w:r w:rsidR="00A45ABD" w:rsidRPr="00DC2021">
        <w:rPr>
          <w:rFonts w:asciiTheme="minorHAnsi" w:hAnsiTheme="minorHAnsi"/>
          <w:sz w:val="28"/>
          <w:szCs w:val="28"/>
        </w:rPr>
        <w:t xml:space="preserve"> </w:t>
      </w:r>
    </w:p>
    <w:p w14:paraId="6AA2A34C" w14:textId="77777777" w:rsidR="00DC2021" w:rsidRPr="00DC2021" w:rsidRDefault="00DC2021"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15491" w:rsidRPr="00DC2021" w14:paraId="0E74DDA3" w14:textId="77777777" w:rsidTr="00A36BA3">
        <w:trPr>
          <w:trHeight w:val="387"/>
          <w:tblHeader/>
        </w:trPr>
        <w:tc>
          <w:tcPr>
            <w:tcW w:w="4536" w:type="dxa"/>
            <w:shd w:val="clear" w:color="auto" w:fill="BDD6EE" w:themeFill="accent1" w:themeFillTint="66"/>
            <w:vAlign w:val="center"/>
          </w:tcPr>
          <w:p w14:paraId="7C5F7D23" w14:textId="77777777" w:rsidR="00615491" w:rsidRPr="00DC2021" w:rsidRDefault="00615491" w:rsidP="00A36BA3">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BE84092" w14:textId="77777777" w:rsidR="00540CBD" w:rsidRDefault="0031657C" w:rsidP="00A36BA3">
            <w:pPr>
              <w:autoSpaceDE w:val="0"/>
              <w:autoSpaceDN w:val="0"/>
              <w:adjustRightInd w:val="0"/>
              <w:rPr>
                <w:rFonts w:asciiTheme="minorHAnsi" w:hAnsiTheme="minorHAnsi" w:cs="Arial"/>
                <w:b/>
                <w:sz w:val="28"/>
                <w:szCs w:val="28"/>
              </w:rPr>
            </w:pPr>
            <w:r>
              <w:rPr>
                <w:rFonts w:asciiTheme="minorHAnsi" w:hAnsiTheme="minorHAnsi" w:cs="Arial"/>
                <w:b/>
                <w:sz w:val="28"/>
                <w:szCs w:val="28"/>
              </w:rPr>
              <w:t xml:space="preserve">Operační </w:t>
            </w:r>
            <w:r w:rsidR="00A37633">
              <w:rPr>
                <w:rFonts w:asciiTheme="minorHAnsi" w:hAnsiTheme="minorHAnsi" w:cs="Arial"/>
                <w:b/>
                <w:sz w:val="28"/>
                <w:szCs w:val="28"/>
              </w:rPr>
              <w:t xml:space="preserve">svítidla </w:t>
            </w:r>
            <w:r w:rsidR="001336D2">
              <w:rPr>
                <w:rFonts w:asciiTheme="minorHAnsi" w:hAnsiTheme="minorHAnsi" w:cs="Arial"/>
                <w:b/>
                <w:sz w:val="28"/>
                <w:szCs w:val="28"/>
              </w:rPr>
              <w:t xml:space="preserve">– </w:t>
            </w:r>
            <w:r w:rsidR="00540CBD">
              <w:rPr>
                <w:rFonts w:asciiTheme="minorHAnsi" w:hAnsiTheme="minorHAnsi" w:cs="Arial"/>
                <w:b/>
                <w:sz w:val="28"/>
                <w:szCs w:val="28"/>
              </w:rPr>
              <w:t>7</w:t>
            </w:r>
            <w:r w:rsidR="001336D2">
              <w:rPr>
                <w:rFonts w:asciiTheme="minorHAnsi" w:hAnsiTheme="minorHAnsi" w:cs="Arial"/>
                <w:b/>
                <w:sz w:val="28"/>
                <w:szCs w:val="28"/>
              </w:rPr>
              <w:t xml:space="preserve"> ks </w:t>
            </w:r>
          </w:p>
          <w:p w14:paraId="7650A272" w14:textId="1802115C" w:rsidR="00615491" w:rsidRPr="00DC2021" w:rsidRDefault="001336D2" w:rsidP="00A36BA3">
            <w:pPr>
              <w:autoSpaceDE w:val="0"/>
              <w:autoSpaceDN w:val="0"/>
              <w:adjustRightInd w:val="0"/>
              <w:rPr>
                <w:rFonts w:asciiTheme="minorHAnsi" w:hAnsiTheme="minorHAnsi"/>
                <w:b/>
                <w:bCs/>
                <w:sz w:val="28"/>
                <w:szCs w:val="28"/>
              </w:rPr>
            </w:pPr>
            <w:r w:rsidRPr="00540CBD">
              <w:rPr>
                <w:rFonts w:asciiTheme="minorHAnsi" w:hAnsiTheme="minorHAnsi" w:cs="Arial"/>
                <w:b/>
                <w:sz w:val="24"/>
              </w:rPr>
              <w:t>(</w:t>
            </w:r>
            <w:r w:rsidR="0031657C" w:rsidRPr="00540CBD">
              <w:rPr>
                <w:rFonts w:asciiTheme="minorHAnsi" w:hAnsiTheme="minorHAnsi" w:cs="Arial"/>
                <w:b/>
                <w:sz w:val="24"/>
              </w:rPr>
              <w:t xml:space="preserve">COS Litomyšlské nemocnice –– </w:t>
            </w:r>
            <w:r w:rsidR="00A37633" w:rsidRPr="00540CBD">
              <w:rPr>
                <w:rFonts w:asciiTheme="minorHAnsi" w:hAnsiTheme="minorHAnsi" w:cs="Arial"/>
                <w:b/>
                <w:sz w:val="24"/>
              </w:rPr>
              <w:t>2</w:t>
            </w:r>
            <w:r w:rsidR="0031657C" w:rsidRPr="00540CBD">
              <w:rPr>
                <w:rFonts w:asciiTheme="minorHAnsi" w:hAnsiTheme="minorHAnsi" w:cs="Arial"/>
                <w:b/>
                <w:sz w:val="24"/>
              </w:rPr>
              <w:t xml:space="preserve"> ks</w:t>
            </w:r>
            <w:r w:rsidR="00A37633" w:rsidRPr="00540CBD">
              <w:rPr>
                <w:rFonts w:asciiTheme="minorHAnsi" w:hAnsiTheme="minorHAnsi" w:cs="Arial"/>
                <w:b/>
                <w:sz w:val="24"/>
              </w:rPr>
              <w:t>, COS Orlickoústecké nemocnice – 2ks a COS a CHIR Chrudimské nemocnice – 3 ks</w:t>
            </w:r>
            <w:r w:rsidR="00540CBD">
              <w:rPr>
                <w:rFonts w:asciiTheme="minorHAnsi" w:hAnsiTheme="minorHAnsi" w:cs="Arial"/>
                <w:b/>
                <w:sz w:val="24"/>
              </w:rPr>
              <w:t>)</w:t>
            </w:r>
          </w:p>
        </w:tc>
      </w:tr>
      <w:tr w:rsidR="00615491" w:rsidRPr="00DC2021" w14:paraId="5976E868" w14:textId="77777777" w:rsidTr="00A36BA3">
        <w:trPr>
          <w:tblHeader/>
        </w:trPr>
        <w:tc>
          <w:tcPr>
            <w:tcW w:w="4536" w:type="dxa"/>
            <w:shd w:val="clear" w:color="auto" w:fill="F7CAAC" w:themeFill="accent2" w:themeFillTint="66"/>
          </w:tcPr>
          <w:p w14:paraId="3467712F" w14:textId="77777777" w:rsidR="00615491" w:rsidRPr="00DC2021" w:rsidRDefault="00615491" w:rsidP="00A36BA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F6DF009" w14:textId="77777777" w:rsidR="00615491" w:rsidRPr="00DC2021" w:rsidRDefault="00615491" w:rsidP="00A36BA3">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379E92EA" w14:textId="77777777" w:rsidR="00615491" w:rsidRPr="00DC2021" w:rsidRDefault="00615491" w:rsidP="00A36BA3">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DD3ACF" w:rsidRPr="00DC2021" w14:paraId="1A49DB9B" w14:textId="77777777" w:rsidTr="00A36BA3">
        <w:tc>
          <w:tcPr>
            <w:tcW w:w="4536" w:type="dxa"/>
            <w:shd w:val="clear" w:color="auto" w:fill="auto"/>
          </w:tcPr>
          <w:p w14:paraId="41BECFF9" w14:textId="3F4D87F3" w:rsidR="00DD3ACF" w:rsidRDefault="00DD3ACF" w:rsidP="00DD3ACF">
            <w:pPr>
              <w:jc w:val="both"/>
              <w:rPr>
                <w:rFonts w:ascii="Calibri" w:hAnsi="Calibri"/>
                <w:szCs w:val="22"/>
              </w:rPr>
            </w:pPr>
            <w:r w:rsidRPr="00B325B9">
              <w:rPr>
                <w:i/>
                <w:color w:val="00000A"/>
              </w:rPr>
              <w:t>7</w:t>
            </w:r>
            <w:r w:rsidRPr="00B325B9">
              <w:rPr>
                <w:color w:val="00000A"/>
              </w:rPr>
              <w:t xml:space="preserve"> ks operačních svítidel dvouramenných, stropních</w:t>
            </w:r>
          </w:p>
        </w:tc>
        <w:tc>
          <w:tcPr>
            <w:tcW w:w="1276" w:type="dxa"/>
            <w:vAlign w:val="center"/>
          </w:tcPr>
          <w:p w14:paraId="503D5667"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C288A2E"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2AA5D676" w14:textId="77777777" w:rsidTr="00A36BA3">
        <w:tc>
          <w:tcPr>
            <w:tcW w:w="4536" w:type="dxa"/>
            <w:shd w:val="clear" w:color="auto" w:fill="auto"/>
          </w:tcPr>
          <w:p w14:paraId="1E7A9B6F" w14:textId="048F4A8E" w:rsidR="00DD3ACF" w:rsidRDefault="00DD3ACF" w:rsidP="00DD3ACF">
            <w:pPr>
              <w:jc w:val="both"/>
            </w:pPr>
            <w:r w:rsidRPr="00B325B9">
              <w:rPr>
                <w:iCs/>
                <w:color w:val="00000A"/>
              </w:rPr>
              <w:t>příprava pro HD kamerový systém v satelitním světle</w:t>
            </w:r>
            <w:r w:rsidR="005E1CA1">
              <w:rPr>
                <w:iCs/>
                <w:color w:val="00000A"/>
              </w:rPr>
              <w:t xml:space="preserve"> </w:t>
            </w:r>
            <w:r w:rsidR="00CB3512">
              <w:rPr>
                <w:iCs/>
                <w:color w:val="00000A"/>
              </w:rPr>
              <w:t>(</w:t>
            </w:r>
            <w:r w:rsidR="00DD71BB">
              <w:rPr>
                <w:iCs/>
                <w:color w:val="00000A"/>
              </w:rPr>
              <w:t xml:space="preserve">pouze </w:t>
            </w:r>
            <w:r w:rsidR="00CB3512">
              <w:rPr>
                <w:iCs/>
                <w:color w:val="00000A"/>
              </w:rPr>
              <w:t>2x v Orlickoústecké nemocnici a 1x v Chrudimské nemocnici)</w:t>
            </w:r>
          </w:p>
        </w:tc>
        <w:tc>
          <w:tcPr>
            <w:tcW w:w="1276" w:type="dxa"/>
            <w:vAlign w:val="center"/>
          </w:tcPr>
          <w:p w14:paraId="60A9A7CC"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9718F8"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0E64622B" w14:textId="77777777" w:rsidTr="00A36BA3">
        <w:tc>
          <w:tcPr>
            <w:tcW w:w="4536" w:type="dxa"/>
            <w:shd w:val="clear" w:color="auto" w:fill="auto"/>
          </w:tcPr>
          <w:p w14:paraId="17A8FA26" w14:textId="3F5793C2" w:rsidR="00DD3ACF" w:rsidRDefault="00DD3ACF" w:rsidP="00DD3ACF">
            <w:pPr>
              <w:jc w:val="both"/>
            </w:pPr>
            <w:r w:rsidRPr="00B325B9">
              <w:rPr>
                <w:rFonts w:cs="Arial"/>
              </w:rPr>
              <w:t>možnost otáčení svítidla o 360° - bez dorazové provedení</w:t>
            </w:r>
          </w:p>
        </w:tc>
        <w:tc>
          <w:tcPr>
            <w:tcW w:w="1276" w:type="dxa"/>
            <w:vAlign w:val="center"/>
          </w:tcPr>
          <w:p w14:paraId="48914943"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8B477CB"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3AC81359" w14:textId="77777777" w:rsidTr="00A36BA3">
        <w:tc>
          <w:tcPr>
            <w:tcW w:w="4536" w:type="dxa"/>
          </w:tcPr>
          <w:p w14:paraId="3C16C0AC" w14:textId="1DCC46BB" w:rsidR="00DD3ACF" w:rsidRDefault="00DD3ACF" w:rsidP="00DD3ACF">
            <w:pPr>
              <w:jc w:val="both"/>
            </w:pPr>
            <w:r w:rsidRPr="00B325B9">
              <w:rPr>
                <w:rFonts w:cs="Arial"/>
              </w:rPr>
              <w:t xml:space="preserve">napájení </w:t>
            </w:r>
            <w:proofErr w:type="gramStart"/>
            <w:r w:rsidRPr="00B325B9">
              <w:rPr>
                <w:rFonts w:cs="Arial"/>
              </w:rPr>
              <w:t>230V</w:t>
            </w:r>
            <w:proofErr w:type="gramEnd"/>
            <w:r w:rsidRPr="00B325B9">
              <w:rPr>
                <w:rFonts w:cs="Arial"/>
              </w:rPr>
              <w:t>, 50/60HZ</w:t>
            </w:r>
          </w:p>
        </w:tc>
        <w:tc>
          <w:tcPr>
            <w:tcW w:w="1276" w:type="dxa"/>
            <w:vAlign w:val="center"/>
          </w:tcPr>
          <w:p w14:paraId="4FEA510A"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33BC34"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05DC110C" w14:textId="77777777" w:rsidTr="00A36BA3">
        <w:tc>
          <w:tcPr>
            <w:tcW w:w="4536" w:type="dxa"/>
          </w:tcPr>
          <w:p w14:paraId="289B0BEF" w14:textId="40C231D3" w:rsidR="00DD3ACF" w:rsidRDefault="00DD3ACF" w:rsidP="00DD3ACF">
            <w:pPr>
              <w:jc w:val="both"/>
            </w:pPr>
            <w:r w:rsidRPr="00B325B9">
              <w:rPr>
                <w:rFonts w:cs="Arial"/>
              </w:rPr>
              <w:t xml:space="preserve">stávající zálohování světel je na </w:t>
            </w:r>
            <w:proofErr w:type="gramStart"/>
            <w:r w:rsidRPr="00B325B9">
              <w:rPr>
                <w:rFonts w:cs="Arial"/>
              </w:rPr>
              <w:t>24V</w:t>
            </w:r>
            <w:proofErr w:type="gramEnd"/>
            <w:r w:rsidRPr="00B325B9">
              <w:rPr>
                <w:rFonts w:cs="Arial"/>
              </w:rPr>
              <w:t xml:space="preserve"> DC</w:t>
            </w:r>
          </w:p>
        </w:tc>
        <w:tc>
          <w:tcPr>
            <w:tcW w:w="1276" w:type="dxa"/>
            <w:vAlign w:val="center"/>
          </w:tcPr>
          <w:p w14:paraId="5F25980E"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472ED2"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31A0558D" w14:textId="77777777" w:rsidTr="00A36BA3">
        <w:tc>
          <w:tcPr>
            <w:tcW w:w="4536" w:type="dxa"/>
          </w:tcPr>
          <w:p w14:paraId="6686BC45" w14:textId="75828DD6" w:rsidR="00DD3ACF" w:rsidRDefault="00DD3ACF" w:rsidP="00DD3ACF">
            <w:pPr>
              <w:jc w:val="both"/>
            </w:pPr>
            <w:r w:rsidRPr="00B325B9">
              <w:rPr>
                <w:rFonts w:cs="Arial"/>
              </w:rPr>
              <w:t xml:space="preserve">životnost min. </w:t>
            </w:r>
            <w:r w:rsidR="0008180C">
              <w:rPr>
                <w:rFonts w:cs="Arial"/>
              </w:rPr>
              <w:t>5</w:t>
            </w:r>
            <w:r w:rsidR="0008180C" w:rsidRPr="00B325B9">
              <w:rPr>
                <w:rFonts w:cs="Arial"/>
              </w:rPr>
              <w:t>0 </w:t>
            </w:r>
            <w:r w:rsidRPr="00B325B9">
              <w:rPr>
                <w:rFonts w:cs="Arial"/>
              </w:rPr>
              <w:t>000 hodin</w:t>
            </w:r>
          </w:p>
        </w:tc>
        <w:tc>
          <w:tcPr>
            <w:tcW w:w="1276" w:type="dxa"/>
            <w:vAlign w:val="center"/>
          </w:tcPr>
          <w:p w14:paraId="59F184C6"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7F7460"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69EF8B1E" w14:textId="77777777" w:rsidTr="00A36BA3">
        <w:tc>
          <w:tcPr>
            <w:tcW w:w="4536" w:type="dxa"/>
          </w:tcPr>
          <w:p w14:paraId="6EFED16B" w14:textId="59F0821E" w:rsidR="00DD3ACF" w:rsidRDefault="00DD3ACF" w:rsidP="00DD3ACF">
            <w:pPr>
              <w:jc w:val="both"/>
            </w:pPr>
            <w:r w:rsidRPr="00B325B9">
              <w:rPr>
                <w:rFonts w:cs="Arial"/>
              </w:rPr>
              <w:t>výškově stavitelné, naklápěcí, otáčecí</w:t>
            </w:r>
          </w:p>
        </w:tc>
        <w:tc>
          <w:tcPr>
            <w:tcW w:w="1276" w:type="dxa"/>
            <w:vAlign w:val="center"/>
          </w:tcPr>
          <w:p w14:paraId="40B4F5D9"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94868F6"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16A7E00C" w14:textId="77777777" w:rsidTr="00A36BA3">
        <w:trPr>
          <w:trHeight w:val="677"/>
        </w:trPr>
        <w:tc>
          <w:tcPr>
            <w:tcW w:w="4536" w:type="dxa"/>
          </w:tcPr>
          <w:p w14:paraId="25B8F184" w14:textId="496C5575" w:rsidR="00DD3ACF" w:rsidRDefault="00DD3ACF" w:rsidP="00DD3ACF">
            <w:pPr>
              <w:jc w:val="both"/>
            </w:pPr>
            <w:r w:rsidRPr="00B325B9">
              <w:rPr>
                <w:rFonts w:cs="Arial"/>
              </w:rPr>
              <w:t xml:space="preserve">možnost instalace do prostor s nízkými stropy </w:t>
            </w:r>
          </w:p>
        </w:tc>
        <w:tc>
          <w:tcPr>
            <w:tcW w:w="1276" w:type="dxa"/>
            <w:vAlign w:val="center"/>
          </w:tcPr>
          <w:p w14:paraId="431612D8"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DDC3A8"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7D3D9087" w14:textId="77777777" w:rsidTr="00A36BA3">
        <w:tc>
          <w:tcPr>
            <w:tcW w:w="4536" w:type="dxa"/>
          </w:tcPr>
          <w:p w14:paraId="414AE1EF" w14:textId="2FA6AAB6" w:rsidR="00DD3ACF" w:rsidRDefault="00DD3ACF" w:rsidP="00DD3ACF">
            <w:pPr>
              <w:jc w:val="both"/>
            </w:pPr>
            <w:r w:rsidRPr="00B325B9">
              <w:rPr>
                <w:rFonts w:cs="Arial"/>
              </w:rPr>
              <w:t>snadné čištění a dezinfekce svítidel</w:t>
            </w:r>
          </w:p>
        </w:tc>
        <w:tc>
          <w:tcPr>
            <w:tcW w:w="1276" w:type="dxa"/>
            <w:vAlign w:val="center"/>
          </w:tcPr>
          <w:p w14:paraId="70CA62CA"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F3CDED7"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3D7F552D" w14:textId="77777777" w:rsidTr="00A36BA3">
        <w:tc>
          <w:tcPr>
            <w:tcW w:w="4536" w:type="dxa"/>
          </w:tcPr>
          <w:p w14:paraId="3DDE949D" w14:textId="1DF473CD" w:rsidR="00DD3ACF" w:rsidRDefault="00DD3ACF" w:rsidP="00DD3ACF">
            <w:pPr>
              <w:jc w:val="both"/>
            </w:pPr>
            <w:r w:rsidRPr="0090270D">
              <w:rPr>
                <w:b/>
                <w:bCs/>
                <w:color w:val="00000A"/>
              </w:rPr>
              <w:lastRenderedPageBreak/>
              <w:t xml:space="preserve">Hlavní svítidlo: </w:t>
            </w:r>
          </w:p>
        </w:tc>
        <w:tc>
          <w:tcPr>
            <w:tcW w:w="1276" w:type="dxa"/>
            <w:vAlign w:val="center"/>
          </w:tcPr>
          <w:p w14:paraId="1EF81165" w14:textId="72E6F6B5" w:rsidR="00DD3ACF" w:rsidRPr="00DC2021" w:rsidRDefault="00DD3ACF" w:rsidP="00DD3ACF">
            <w:pPr>
              <w:jc w:val="center"/>
              <w:rPr>
                <w:rFonts w:asciiTheme="minorHAnsi" w:hAnsiTheme="minorHAnsi" w:cs="Calibri"/>
                <w:color w:val="FF0000"/>
                <w:szCs w:val="20"/>
              </w:rPr>
            </w:pPr>
          </w:p>
        </w:tc>
        <w:tc>
          <w:tcPr>
            <w:tcW w:w="3821" w:type="dxa"/>
            <w:vAlign w:val="center"/>
          </w:tcPr>
          <w:p w14:paraId="2DC018AC" w14:textId="41158D9F" w:rsidR="00DD3ACF" w:rsidRPr="00DC2021" w:rsidRDefault="00DD3ACF" w:rsidP="00DD3ACF">
            <w:pPr>
              <w:jc w:val="center"/>
              <w:rPr>
                <w:rFonts w:asciiTheme="minorHAnsi" w:hAnsiTheme="minorHAnsi" w:cs="Calibri"/>
                <w:color w:val="FF0000"/>
                <w:szCs w:val="20"/>
              </w:rPr>
            </w:pPr>
          </w:p>
        </w:tc>
      </w:tr>
      <w:tr w:rsidR="00DD3ACF" w:rsidRPr="00DC2021" w14:paraId="775179F5" w14:textId="77777777" w:rsidTr="00A36BA3">
        <w:tc>
          <w:tcPr>
            <w:tcW w:w="4536" w:type="dxa"/>
          </w:tcPr>
          <w:p w14:paraId="58F37F41" w14:textId="460B3293" w:rsidR="00DD3ACF" w:rsidRDefault="00DD3ACF" w:rsidP="00DD3ACF">
            <w:pPr>
              <w:jc w:val="both"/>
            </w:pPr>
            <w:r w:rsidRPr="0090270D">
              <w:rPr>
                <w:color w:val="00000A"/>
              </w:rPr>
              <w:t xml:space="preserve">intenzita osvětlení ve vzdálenosti </w:t>
            </w:r>
            <w:proofErr w:type="gramStart"/>
            <w:r w:rsidRPr="0090270D">
              <w:rPr>
                <w:color w:val="00000A"/>
              </w:rPr>
              <w:t>1m</w:t>
            </w:r>
            <w:proofErr w:type="gramEnd"/>
            <w:r w:rsidRPr="0090270D">
              <w:rPr>
                <w:color w:val="00000A"/>
              </w:rPr>
              <w:t xml:space="preserve"> min. 160 000 </w:t>
            </w:r>
            <w:proofErr w:type="spellStart"/>
            <w:r w:rsidRPr="0090270D">
              <w:rPr>
                <w:color w:val="00000A"/>
              </w:rPr>
              <w:t>lx</w:t>
            </w:r>
            <w:proofErr w:type="spellEnd"/>
            <w:r w:rsidRPr="0090270D">
              <w:rPr>
                <w:color w:val="00000A"/>
              </w:rPr>
              <w:t xml:space="preserve"> </w:t>
            </w:r>
          </w:p>
        </w:tc>
        <w:tc>
          <w:tcPr>
            <w:tcW w:w="1276" w:type="dxa"/>
            <w:vAlign w:val="center"/>
          </w:tcPr>
          <w:p w14:paraId="1065CDA3"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8EA4B5"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5044A544" w14:textId="77777777" w:rsidTr="00A36BA3">
        <w:tc>
          <w:tcPr>
            <w:tcW w:w="4536" w:type="dxa"/>
          </w:tcPr>
          <w:p w14:paraId="0BC0B3C7" w14:textId="2C883E0F" w:rsidR="00DD3ACF" w:rsidRPr="006177BE" w:rsidRDefault="006177BE" w:rsidP="00DD3ACF">
            <w:pPr>
              <w:jc w:val="both"/>
            </w:pPr>
            <w:r w:rsidRPr="006177BE">
              <w:rPr>
                <w:rFonts w:cs="Arial"/>
                <w:color w:val="000000"/>
              </w:rPr>
              <w:t>světlo s plynule nastavitelnou barevnou teplotou min. 3600 °K </w:t>
            </w:r>
            <w:r w:rsidRPr="001336D2">
              <w:rPr>
                <w:rFonts w:cs="Arial"/>
              </w:rPr>
              <w:t xml:space="preserve">a více, s rozsahem min. </w:t>
            </w:r>
            <w:r w:rsidR="0008180C">
              <w:rPr>
                <w:rFonts w:cs="Arial"/>
              </w:rPr>
              <w:t>10</w:t>
            </w:r>
            <w:r w:rsidR="0008180C" w:rsidRPr="001336D2">
              <w:rPr>
                <w:rFonts w:cs="Arial"/>
              </w:rPr>
              <w:t xml:space="preserve">00 </w:t>
            </w:r>
            <w:r w:rsidRPr="006177BE">
              <w:rPr>
                <w:rFonts w:cs="Arial"/>
                <w:color w:val="000000"/>
              </w:rPr>
              <w:t>°K</w:t>
            </w:r>
          </w:p>
        </w:tc>
        <w:tc>
          <w:tcPr>
            <w:tcW w:w="1276" w:type="dxa"/>
            <w:vAlign w:val="center"/>
          </w:tcPr>
          <w:p w14:paraId="7ABD91DC"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91AA71"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07D67099" w14:textId="77777777" w:rsidTr="00A36BA3">
        <w:tc>
          <w:tcPr>
            <w:tcW w:w="4536" w:type="dxa"/>
          </w:tcPr>
          <w:p w14:paraId="7484F0F9" w14:textId="3429E337" w:rsidR="00DD3ACF" w:rsidRDefault="00DD3ACF" w:rsidP="00DD3ACF">
            <w:pPr>
              <w:jc w:val="both"/>
            </w:pPr>
            <w:r w:rsidRPr="0090270D">
              <w:rPr>
                <w:color w:val="00000A"/>
              </w:rPr>
              <w:t xml:space="preserve">index podání barev </w:t>
            </w:r>
            <w:proofErr w:type="spellStart"/>
            <w:r w:rsidRPr="0090270D">
              <w:rPr>
                <w:color w:val="00000A"/>
              </w:rPr>
              <w:t>Ra</w:t>
            </w:r>
            <w:proofErr w:type="spellEnd"/>
            <w:r w:rsidRPr="0090270D">
              <w:rPr>
                <w:color w:val="00000A"/>
              </w:rPr>
              <w:t xml:space="preserve"> min. 95 </w:t>
            </w:r>
          </w:p>
        </w:tc>
        <w:tc>
          <w:tcPr>
            <w:tcW w:w="1276" w:type="dxa"/>
            <w:vAlign w:val="center"/>
          </w:tcPr>
          <w:p w14:paraId="2B1D8768"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6E05981"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6BBCB98E" w14:textId="77777777" w:rsidTr="00A36BA3">
        <w:tc>
          <w:tcPr>
            <w:tcW w:w="4536" w:type="dxa"/>
          </w:tcPr>
          <w:p w14:paraId="48AA630A" w14:textId="45FE8155" w:rsidR="00DD3ACF" w:rsidRDefault="00DD3ACF" w:rsidP="00DD3ACF">
            <w:pPr>
              <w:jc w:val="both"/>
            </w:pPr>
            <w:r w:rsidRPr="0090270D">
              <w:rPr>
                <w:color w:val="00000A"/>
              </w:rPr>
              <w:t xml:space="preserve">hloubka osvětlení min. 1000 mm </w:t>
            </w:r>
          </w:p>
        </w:tc>
        <w:tc>
          <w:tcPr>
            <w:tcW w:w="1276" w:type="dxa"/>
            <w:vAlign w:val="center"/>
          </w:tcPr>
          <w:p w14:paraId="4BA65F15"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89A8A69"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1A64FC39" w14:textId="77777777" w:rsidTr="00A36BA3">
        <w:trPr>
          <w:trHeight w:val="858"/>
        </w:trPr>
        <w:tc>
          <w:tcPr>
            <w:tcW w:w="4536" w:type="dxa"/>
          </w:tcPr>
          <w:p w14:paraId="42276D81" w14:textId="01C18DE9" w:rsidR="00DD3ACF" w:rsidRDefault="00DD3ACF" w:rsidP="00DD3ACF">
            <w:pPr>
              <w:jc w:val="both"/>
            </w:pPr>
            <w:r w:rsidRPr="0090270D">
              <w:rPr>
                <w:color w:val="00000A"/>
              </w:rPr>
              <w:t xml:space="preserve">průměr světelného pole ve vzdálenosti 1 m nastavitelný </w:t>
            </w:r>
            <w:r w:rsidR="001A38CB">
              <w:rPr>
                <w:color w:val="00000A"/>
              </w:rPr>
              <w:t>v rozmezí</w:t>
            </w:r>
            <w:r w:rsidRPr="0090270D">
              <w:rPr>
                <w:color w:val="00000A"/>
              </w:rPr>
              <w:t xml:space="preserve"> 175-260 mm</w:t>
            </w:r>
            <w:r w:rsidR="001A38CB">
              <w:rPr>
                <w:color w:val="00000A"/>
              </w:rPr>
              <w:t xml:space="preserve"> nebo v</w:t>
            </w:r>
            <w:r w:rsidR="00A43621">
              <w:rPr>
                <w:color w:val="00000A"/>
              </w:rPr>
              <w:t>íce</w:t>
            </w:r>
          </w:p>
        </w:tc>
        <w:tc>
          <w:tcPr>
            <w:tcW w:w="1276" w:type="dxa"/>
            <w:vAlign w:val="center"/>
          </w:tcPr>
          <w:p w14:paraId="7DA0BD82"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A9327A7"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6D88628E" w14:textId="77777777" w:rsidTr="00A36BA3">
        <w:tc>
          <w:tcPr>
            <w:tcW w:w="4536" w:type="dxa"/>
          </w:tcPr>
          <w:p w14:paraId="2F2CE648" w14:textId="796DC98E" w:rsidR="00DD3ACF" w:rsidRDefault="00DD3ACF" w:rsidP="00DD3ACF">
            <w:pPr>
              <w:jc w:val="both"/>
            </w:pPr>
            <w:r w:rsidRPr="0090270D">
              <w:rPr>
                <w:color w:val="00000A"/>
              </w:rPr>
              <w:t>samostatně regulovatelná intenzita min. v rozmezí 30-</w:t>
            </w:r>
            <w:proofErr w:type="gramStart"/>
            <w:r w:rsidRPr="0090270D">
              <w:rPr>
                <w:color w:val="00000A"/>
              </w:rPr>
              <w:t>100%</w:t>
            </w:r>
            <w:proofErr w:type="gramEnd"/>
            <w:r w:rsidRPr="0090270D">
              <w:rPr>
                <w:color w:val="00000A"/>
              </w:rPr>
              <w:t xml:space="preserve"> </w:t>
            </w:r>
          </w:p>
        </w:tc>
        <w:tc>
          <w:tcPr>
            <w:tcW w:w="1276" w:type="dxa"/>
            <w:vAlign w:val="center"/>
          </w:tcPr>
          <w:p w14:paraId="688B2E3F"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7A1BC6"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7A046634" w14:textId="77777777" w:rsidTr="00A36BA3">
        <w:tc>
          <w:tcPr>
            <w:tcW w:w="4536" w:type="dxa"/>
          </w:tcPr>
          <w:p w14:paraId="2439C372" w14:textId="5127B134" w:rsidR="00DD3ACF" w:rsidRDefault="00DD3ACF" w:rsidP="00DD3ACF">
            <w:pPr>
              <w:jc w:val="both"/>
            </w:pPr>
            <w:r w:rsidRPr="0090270D">
              <w:rPr>
                <w:color w:val="00000A"/>
              </w:rPr>
              <w:t xml:space="preserve">funkce minimálního světelného toku pro </w:t>
            </w:r>
            <w:r w:rsidRPr="0090270D">
              <w:t>endoskopii (5-</w:t>
            </w:r>
            <w:proofErr w:type="gramStart"/>
            <w:r w:rsidRPr="0090270D">
              <w:t>10%</w:t>
            </w:r>
            <w:proofErr w:type="gramEnd"/>
            <w:r w:rsidRPr="0090270D">
              <w:t>)</w:t>
            </w:r>
          </w:p>
        </w:tc>
        <w:tc>
          <w:tcPr>
            <w:tcW w:w="1276" w:type="dxa"/>
            <w:vAlign w:val="center"/>
          </w:tcPr>
          <w:p w14:paraId="570BA895"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54F307F"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164CB186" w14:textId="77777777" w:rsidTr="00A36BA3">
        <w:tc>
          <w:tcPr>
            <w:tcW w:w="4536" w:type="dxa"/>
          </w:tcPr>
          <w:p w14:paraId="15D1D2A7" w14:textId="7AC5F7B8" w:rsidR="00DD3ACF" w:rsidRDefault="00DD3ACF" w:rsidP="00DD3ACF">
            <w:pPr>
              <w:jc w:val="both"/>
            </w:pPr>
            <w:r w:rsidRPr="0090270D">
              <w:rPr>
                <w:color w:val="00000A"/>
              </w:rPr>
              <w:t>ovládání na dotykovém displeji na svítidle – intenzita osvětlení, průměr světelného pole, endoskopický režim</w:t>
            </w:r>
          </w:p>
        </w:tc>
        <w:tc>
          <w:tcPr>
            <w:tcW w:w="1276" w:type="dxa"/>
            <w:vAlign w:val="center"/>
          </w:tcPr>
          <w:p w14:paraId="2D8B0A97"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2205FE"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0DF60D25" w14:textId="77777777" w:rsidTr="00A36BA3">
        <w:tc>
          <w:tcPr>
            <w:tcW w:w="4536" w:type="dxa"/>
          </w:tcPr>
          <w:p w14:paraId="174329C3" w14:textId="17BD5A43" w:rsidR="00DD3ACF" w:rsidRDefault="00DD3ACF" w:rsidP="00DD3ACF">
            <w:pPr>
              <w:jc w:val="both"/>
              <w:rPr>
                <w:b/>
              </w:rPr>
            </w:pPr>
            <w:r w:rsidRPr="0090270D">
              <w:rPr>
                <w:color w:val="00000A"/>
              </w:rPr>
              <w:t>design k zajištění laminárního proudění</w:t>
            </w:r>
          </w:p>
        </w:tc>
        <w:tc>
          <w:tcPr>
            <w:tcW w:w="1276" w:type="dxa"/>
            <w:vAlign w:val="center"/>
          </w:tcPr>
          <w:p w14:paraId="06A5EDA4" w14:textId="3E89701C"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69A7137" w14:textId="399EC5FA"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13CF038B" w14:textId="77777777" w:rsidTr="00A36BA3">
        <w:tc>
          <w:tcPr>
            <w:tcW w:w="4536" w:type="dxa"/>
          </w:tcPr>
          <w:p w14:paraId="336306D4" w14:textId="0B7A7B40" w:rsidR="00DD3ACF" w:rsidRDefault="00DD3ACF" w:rsidP="00DD3ACF">
            <w:pPr>
              <w:jc w:val="both"/>
            </w:pPr>
            <w:r w:rsidRPr="0090270D">
              <w:rPr>
                <w:color w:val="00000A"/>
              </w:rPr>
              <w:t xml:space="preserve">součástí svítidla je dodání </w:t>
            </w:r>
            <w:r w:rsidR="005F0EF4">
              <w:rPr>
                <w:color w:val="00000A"/>
              </w:rPr>
              <w:t>10</w:t>
            </w:r>
            <w:r w:rsidRPr="0090270D">
              <w:rPr>
                <w:color w:val="00000A"/>
              </w:rPr>
              <w:t xml:space="preserve"> ks </w:t>
            </w:r>
            <w:proofErr w:type="spellStart"/>
            <w:r w:rsidRPr="0090270D">
              <w:rPr>
                <w:color w:val="00000A"/>
              </w:rPr>
              <w:t>autoklávovatelné</w:t>
            </w:r>
            <w:proofErr w:type="spellEnd"/>
            <w:r w:rsidRPr="0090270D">
              <w:rPr>
                <w:color w:val="00000A"/>
              </w:rPr>
              <w:t xml:space="preserve"> vyměnitelné rukojeti pro jeden satelit, s možností využití u ostatních svítidel </w:t>
            </w:r>
          </w:p>
        </w:tc>
        <w:tc>
          <w:tcPr>
            <w:tcW w:w="1276" w:type="dxa"/>
            <w:vAlign w:val="center"/>
          </w:tcPr>
          <w:p w14:paraId="7909CA4E"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7A303A2"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0D3F7462" w14:textId="77777777" w:rsidTr="00A36BA3">
        <w:tc>
          <w:tcPr>
            <w:tcW w:w="4536" w:type="dxa"/>
            <w:shd w:val="clear" w:color="auto" w:fill="auto"/>
          </w:tcPr>
          <w:p w14:paraId="07C7ACFD" w14:textId="69E4DC37" w:rsidR="00DD3ACF" w:rsidRDefault="00DD3ACF" w:rsidP="00DD3ACF">
            <w:pPr>
              <w:jc w:val="both"/>
            </w:pPr>
            <w:r w:rsidRPr="0090270D">
              <w:rPr>
                <w:color w:val="00000A"/>
              </w:rPr>
              <w:t>nástěnný ovládací panel pro svítidlo</w:t>
            </w:r>
          </w:p>
        </w:tc>
        <w:tc>
          <w:tcPr>
            <w:tcW w:w="1276" w:type="dxa"/>
            <w:vAlign w:val="center"/>
          </w:tcPr>
          <w:p w14:paraId="12440FF3"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8248CEE"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49525F74" w14:textId="77777777" w:rsidTr="00A36BA3">
        <w:tc>
          <w:tcPr>
            <w:tcW w:w="4536" w:type="dxa"/>
          </w:tcPr>
          <w:p w14:paraId="566098FC" w14:textId="62A92CD6" w:rsidR="00DD3ACF" w:rsidRDefault="00DD3ACF" w:rsidP="00DD3ACF">
            <w:pPr>
              <w:jc w:val="both"/>
              <w:rPr>
                <w:b/>
              </w:rPr>
            </w:pPr>
            <w:r w:rsidRPr="00F33C96">
              <w:rPr>
                <w:b/>
                <w:color w:val="00000A"/>
              </w:rPr>
              <w:t>Satelitní svítidlo</w:t>
            </w:r>
            <w:r w:rsidRPr="00F33C96">
              <w:rPr>
                <w:color w:val="00000A"/>
              </w:rPr>
              <w:t xml:space="preserve">: </w:t>
            </w:r>
          </w:p>
        </w:tc>
        <w:tc>
          <w:tcPr>
            <w:tcW w:w="1276" w:type="dxa"/>
            <w:vAlign w:val="center"/>
          </w:tcPr>
          <w:p w14:paraId="52D9DD07" w14:textId="641665B0" w:rsidR="00DD3ACF" w:rsidRPr="00DC2021" w:rsidRDefault="00DD3ACF" w:rsidP="00DD3ACF">
            <w:pPr>
              <w:jc w:val="center"/>
              <w:rPr>
                <w:rFonts w:asciiTheme="minorHAnsi" w:hAnsiTheme="minorHAnsi" w:cs="Calibri"/>
                <w:color w:val="FF0000"/>
                <w:szCs w:val="20"/>
              </w:rPr>
            </w:pPr>
          </w:p>
        </w:tc>
        <w:tc>
          <w:tcPr>
            <w:tcW w:w="3821" w:type="dxa"/>
            <w:vAlign w:val="center"/>
          </w:tcPr>
          <w:p w14:paraId="0B013B73" w14:textId="1B1DDF90" w:rsidR="00DD3ACF" w:rsidRPr="00DC2021" w:rsidRDefault="00DD3ACF" w:rsidP="00DD3ACF">
            <w:pPr>
              <w:jc w:val="center"/>
              <w:rPr>
                <w:rFonts w:asciiTheme="minorHAnsi" w:hAnsiTheme="minorHAnsi" w:cs="Calibri"/>
                <w:color w:val="FF0000"/>
                <w:szCs w:val="20"/>
              </w:rPr>
            </w:pPr>
          </w:p>
        </w:tc>
      </w:tr>
      <w:tr w:rsidR="00DD3ACF" w:rsidRPr="00DC2021" w14:paraId="0B2FBE8B" w14:textId="77777777" w:rsidTr="00A36BA3">
        <w:tc>
          <w:tcPr>
            <w:tcW w:w="4536" w:type="dxa"/>
          </w:tcPr>
          <w:p w14:paraId="7824B336" w14:textId="0F29F2E6" w:rsidR="00DD3ACF" w:rsidRDefault="00DD3ACF" w:rsidP="00DD3ACF">
            <w:pPr>
              <w:jc w:val="both"/>
            </w:pPr>
            <w:r w:rsidRPr="00F33C96">
              <w:rPr>
                <w:color w:val="00000A"/>
              </w:rPr>
              <w:t xml:space="preserve">intenzita osvětlení ve vzdálenosti 1 m min. 130.000 </w:t>
            </w:r>
            <w:proofErr w:type="spellStart"/>
            <w:r w:rsidRPr="00F33C96">
              <w:rPr>
                <w:color w:val="00000A"/>
              </w:rPr>
              <w:t>lx</w:t>
            </w:r>
            <w:proofErr w:type="spellEnd"/>
            <w:r w:rsidRPr="00F33C96">
              <w:rPr>
                <w:color w:val="00000A"/>
              </w:rPr>
              <w:t xml:space="preserve"> </w:t>
            </w:r>
          </w:p>
        </w:tc>
        <w:tc>
          <w:tcPr>
            <w:tcW w:w="1276" w:type="dxa"/>
            <w:vAlign w:val="center"/>
          </w:tcPr>
          <w:p w14:paraId="32FC2929"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EC3DE31"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7C2C82F9" w14:textId="77777777" w:rsidTr="00A36BA3">
        <w:tc>
          <w:tcPr>
            <w:tcW w:w="4536" w:type="dxa"/>
          </w:tcPr>
          <w:p w14:paraId="41AD8B93" w14:textId="03DA4959" w:rsidR="00DD3ACF" w:rsidRPr="00EE0F79" w:rsidRDefault="006177BE" w:rsidP="00DD3ACF">
            <w:pPr>
              <w:jc w:val="both"/>
              <w:rPr>
                <w:rFonts w:cs="Arial"/>
                <w:szCs w:val="20"/>
              </w:rPr>
            </w:pPr>
            <w:r w:rsidRPr="006177BE">
              <w:rPr>
                <w:rFonts w:cs="Arial"/>
                <w:color w:val="000000"/>
                <w:szCs w:val="20"/>
              </w:rPr>
              <w:t>světlo s plynule nastavitelnou barevnou teplotou min. 3600 °K </w:t>
            </w:r>
            <w:r w:rsidRPr="001336D2">
              <w:rPr>
                <w:rFonts w:cs="Arial"/>
                <w:szCs w:val="20"/>
              </w:rPr>
              <w:t xml:space="preserve">a více, s rozsahem min. </w:t>
            </w:r>
            <w:r w:rsidR="001417A7">
              <w:rPr>
                <w:rFonts w:cs="Arial"/>
                <w:szCs w:val="20"/>
              </w:rPr>
              <w:t>1000</w:t>
            </w:r>
            <w:r w:rsidRPr="001336D2">
              <w:rPr>
                <w:rFonts w:cs="Arial"/>
                <w:szCs w:val="20"/>
              </w:rPr>
              <w:t xml:space="preserve"> </w:t>
            </w:r>
            <w:r w:rsidRPr="006177BE">
              <w:rPr>
                <w:rFonts w:cs="Arial"/>
                <w:color w:val="000000"/>
                <w:szCs w:val="20"/>
              </w:rPr>
              <w:t>°K</w:t>
            </w:r>
          </w:p>
        </w:tc>
        <w:tc>
          <w:tcPr>
            <w:tcW w:w="1276" w:type="dxa"/>
            <w:vAlign w:val="center"/>
          </w:tcPr>
          <w:p w14:paraId="39D05F45"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9E39DE1"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35CD762F" w14:textId="77777777" w:rsidTr="00A36BA3">
        <w:tc>
          <w:tcPr>
            <w:tcW w:w="4536" w:type="dxa"/>
          </w:tcPr>
          <w:p w14:paraId="52A97A2D" w14:textId="6A67D75A" w:rsidR="00DD3ACF" w:rsidRDefault="00DD3ACF" w:rsidP="00DD3ACF">
            <w:pPr>
              <w:jc w:val="both"/>
            </w:pPr>
            <w:r w:rsidRPr="00F33C96">
              <w:rPr>
                <w:color w:val="00000A"/>
              </w:rPr>
              <w:t xml:space="preserve">hloubka osvětlení min. 950 mm </w:t>
            </w:r>
          </w:p>
        </w:tc>
        <w:tc>
          <w:tcPr>
            <w:tcW w:w="1276" w:type="dxa"/>
            <w:vAlign w:val="center"/>
          </w:tcPr>
          <w:p w14:paraId="4AC0E398"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4E8107D"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52BED957" w14:textId="77777777" w:rsidTr="00A36BA3">
        <w:tc>
          <w:tcPr>
            <w:tcW w:w="4536" w:type="dxa"/>
          </w:tcPr>
          <w:p w14:paraId="263BBCB2" w14:textId="1B598490" w:rsidR="00DD3ACF" w:rsidRDefault="00DD3ACF" w:rsidP="00DD3ACF">
            <w:pPr>
              <w:jc w:val="both"/>
            </w:pPr>
            <w:r w:rsidRPr="00F33C96">
              <w:rPr>
                <w:color w:val="00000A"/>
              </w:rPr>
              <w:t xml:space="preserve">průměr světelného pole ve vzdálenosti 1 m nastavitelný </w:t>
            </w:r>
            <w:r w:rsidR="001A38CB">
              <w:rPr>
                <w:color w:val="00000A"/>
              </w:rPr>
              <w:t xml:space="preserve">v rozmezí </w:t>
            </w:r>
            <w:r w:rsidRPr="00F33C96">
              <w:rPr>
                <w:color w:val="00000A"/>
              </w:rPr>
              <w:t>160-230 mm</w:t>
            </w:r>
            <w:r w:rsidR="001A38CB">
              <w:rPr>
                <w:color w:val="00000A"/>
              </w:rPr>
              <w:t xml:space="preserve"> nebo </w:t>
            </w:r>
            <w:r w:rsidR="00A43621">
              <w:rPr>
                <w:color w:val="00000A"/>
              </w:rPr>
              <w:t>více</w:t>
            </w:r>
          </w:p>
        </w:tc>
        <w:tc>
          <w:tcPr>
            <w:tcW w:w="1276" w:type="dxa"/>
            <w:vAlign w:val="center"/>
          </w:tcPr>
          <w:p w14:paraId="5CC2C76A"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76903AD"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06EB2FDC" w14:textId="77777777" w:rsidTr="00A36BA3">
        <w:tc>
          <w:tcPr>
            <w:tcW w:w="4536" w:type="dxa"/>
          </w:tcPr>
          <w:p w14:paraId="7EA4C21B" w14:textId="7BB65B0F" w:rsidR="00DD3ACF" w:rsidRDefault="00DD3ACF" w:rsidP="00DD3ACF">
            <w:pPr>
              <w:jc w:val="both"/>
            </w:pPr>
            <w:r w:rsidRPr="00F33C96">
              <w:rPr>
                <w:color w:val="00000A"/>
              </w:rPr>
              <w:t>samostatně regulovatelná intenzita v rozmezí min. 30-</w:t>
            </w:r>
            <w:proofErr w:type="gramStart"/>
            <w:r w:rsidRPr="00F33C96">
              <w:rPr>
                <w:color w:val="00000A"/>
              </w:rPr>
              <w:t>100%</w:t>
            </w:r>
            <w:proofErr w:type="gramEnd"/>
            <w:r w:rsidRPr="00F33C96">
              <w:rPr>
                <w:color w:val="00000A"/>
              </w:rPr>
              <w:t xml:space="preserve"> a průměr světelného pole</w:t>
            </w:r>
          </w:p>
        </w:tc>
        <w:tc>
          <w:tcPr>
            <w:tcW w:w="1276" w:type="dxa"/>
            <w:vAlign w:val="center"/>
          </w:tcPr>
          <w:p w14:paraId="11B78E68"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DEE45A"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28AAE2BF" w14:textId="77777777" w:rsidTr="00A36BA3">
        <w:tc>
          <w:tcPr>
            <w:tcW w:w="4536" w:type="dxa"/>
          </w:tcPr>
          <w:p w14:paraId="0797B243" w14:textId="1DD03CD2" w:rsidR="00DD3ACF" w:rsidRDefault="00DD3ACF" w:rsidP="00DD3ACF">
            <w:pPr>
              <w:jc w:val="both"/>
            </w:pPr>
            <w:r w:rsidRPr="00F33C96">
              <w:rPr>
                <w:color w:val="00000A"/>
              </w:rPr>
              <w:t xml:space="preserve">index podání barev </w:t>
            </w:r>
            <w:proofErr w:type="spellStart"/>
            <w:r w:rsidRPr="00F33C96">
              <w:rPr>
                <w:color w:val="00000A"/>
              </w:rPr>
              <w:t>Ra</w:t>
            </w:r>
            <w:proofErr w:type="spellEnd"/>
            <w:r w:rsidRPr="00F33C96">
              <w:rPr>
                <w:color w:val="00000A"/>
              </w:rPr>
              <w:t xml:space="preserve"> min. 96 </w:t>
            </w:r>
          </w:p>
        </w:tc>
        <w:tc>
          <w:tcPr>
            <w:tcW w:w="1276" w:type="dxa"/>
            <w:vAlign w:val="center"/>
          </w:tcPr>
          <w:p w14:paraId="619E75AD"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1556AD"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5638D83B" w14:textId="77777777" w:rsidTr="00A36BA3">
        <w:tc>
          <w:tcPr>
            <w:tcW w:w="4536" w:type="dxa"/>
          </w:tcPr>
          <w:p w14:paraId="3EC98032" w14:textId="58BA0D31" w:rsidR="00DD3ACF" w:rsidRDefault="00DD3ACF" w:rsidP="00DD3ACF">
            <w:pPr>
              <w:jc w:val="both"/>
            </w:pPr>
            <w:r w:rsidRPr="00F33C96">
              <w:rPr>
                <w:color w:val="00000A"/>
              </w:rPr>
              <w:t xml:space="preserve">funkce minimálního světelného toku pro </w:t>
            </w:r>
            <w:r w:rsidRPr="00F33C96">
              <w:t>endoskopii (5-</w:t>
            </w:r>
            <w:proofErr w:type="gramStart"/>
            <w:r w:rsidRPr="00F33C96">
              <w:t>10%</w:t>
            </w:r>
            <w:proofErr w:type="gramEnd"/>
            <w:r w:rsidRPr="00F33C96">
              <w:t>)</w:t>
            </w:r>
          </w:p>
        </w:tc>
        <w:tc>
          <w:tcPr>
            <w:tcW w:w="1276" w:type="dxa"/>
            <w:vAlign w:val="center"/>
          </w:tcPr>
          <w:p w14:paraId="5347CA97"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433E730"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225A94C6" w14:textId="77777777" w:rsidTr="00A36BA3">
        <w:tc>
          <w:tcPr>
            <w:tcW w:w="4536" w:type="dxa"/>
          </w:tcPr>
          <w:p w14:paraId="5DCC2753" w14:textId="749906E3" w:rsidR="00DD3ACF" w:rsidRDefault="00DD3ACF" w:rsidP="00DD3ACF">
            <w:pPr>
              <w:jc w:val="both"/>
            </w:pPr>
            <w:r w:rsidRPr="00F33C96">
              <w:rPr>
                <w:color w:val="00000A"/>
              </w:rPr>
              <w:t xml:space="preserve">ovládání na dotykovém displeji na svítidle – intenzita osvětlení, průměr světelného pole, endoskopický režim, </w:t>
            </w:r>
          </w:p>
        </w:tc>
        <w:tc>
          <w:tcPr>
            <w:tcW w:w="1276" w:type="dxa"/>
            <w:vAlign w:val="center"/>
          </w:tcPr>
          <w:p w14:paraId="7C0D7776"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BACE1AE"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05642" w:rsidRPr="00DC2021" w14:paraId="4C757184" w14:textId="77777777" w:rsidTr="00A36BA3">
        <w:tc>
          <w:tcPr>
            <w:tcW w:w="4536" w:type="dxa"/>
          </w:tcPr>
          <w:p w14:paraId="080A2B20" w14:textId="7C6C5CA8" w:rsidR="00605642" w:rsidRDefault="00605642" w:rsidP="00605642">
            <w:pPr>
              <w:jc w:val="both"/>
              <w:rPr>
                <w:b/>
              </w:rPr>
            </w:pPr>
            <w:r w:rsidRPr="00F33C96">
              <w:rPr>
                <w:color w:val="00000A"/>
              </w:rPr>
              <w:lastRenderedPageBreak/>
              <w:t xml:space="preserve">HD kamerová příprava v satelitu svítidla </w:t>
            </w:r>
            <w:r w:rsidR="00DD71BB">
              <w:rPr>
                <w:iCs/>
                <w:color w:val="00000A"/>
              </w:rPr>
              <w:t>(pouze 2x v Orlickoústecké nemocnici a 1x v Chrudimské nemocnici)</w:t>
            </w:r>
          </w:p>
        </w:tc>
        <w:tc>
          <w:tcPr>
            <w:tcW w:w="1276" w:type="dxa"/>
            <w:vAlign w:val="center"/>
          </w:tcPr>
          <w:p w14:paraId="09253123" w14:textId="4319D7E7" w:rsidR="00605642" w:rsidRPr="00DC2021" w:rsidRDefault="00605642" w:rsidP="0060564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DABC44" w14:textId="517C8DF6" w:rsidR="00605642" w:rsidRPr="00DC2021" w:rsidRDefault="00605642" w:rsidP="0060564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364D1038" w14:textId="77777777" w:rsidTr="00A36BA3">
        <w:tc>
          <w:tcPr>
            <w:tcW w:w="4536" w:type="dxa"/>
          </w:tcPr>
          <w:p w14:paraId="5090B5AF" w14:textId="712DCC7E" w:rsidR="00DD3ACF" w:rsidRDefault="00DD3ACF" w:rsidP="00DD3ACF">
            <w:pPr>
              <w:jc w:val="both"/>
            </w:pPr>
            <w:r w:rsidRPr="00F33C96">
              <w:rPr>
                <w:color w:val="00000A"/>
              </w:rPr>
              <w:t>design k zajištění laminárního proudění</w:t>
            </w:r>
          </w:p>
        </w:tc>
        <w:tc>
          <w:tcPr>
            <w:tcW w:w="1276" w:type="dxa"/>
            <w:vAlign w:val="center"/>
          </w:tcPr>
          <w:p w14:paraId="5A96E785"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3CB733"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7DE14DFB" w14:textId="77777777" w:rsidTr="00A36BA3">
        <w:tc>
          <w:tcPr>
            <w:tcW w:w="4536" w:type="dxa"/>
          </w:tcPr>
          <w:p w14:paraId="45741560" w14:textId="6BBE93B2" w:rsidR="00DD3ACF" w:rsidRDefault="00DD3ACF" w:rsidP="00DD3ACF">
            <w:pPr>
              <w:jc w:val="both"/>
            </w:pPr>
            <w:r w:rsidRPr="00F33C96">
              <w:rPr>
                <w:color w:val="00000A"/>
              </w:rPr>
              <w:t xml:space="preserve">součástí svítidla je dodání </w:t>
            </w:r>
            <w:r w:rsidR="005F0EF4">
              <w:rPr>
                <w:color w:val="00000A"/>
              </w:rPr>
              <w:t>10</w:t>
            </w:r>
            <w:r w:rsidRPr="00F33C96">
              <w:rPr>
                <w:color w:val="00000A"/>
              </w:rPr>
              <w:t xml:space="preserve"> ks </w:t>
            </w:r>
            <w:proofErr w:type="spellStart"/>
            <w:r w:rsidRPr="00F33C96">
              <w:rPr>
                <w:color w:val="00000A"/>
              </w:rPr>
              <w:t>autoklávovatelné</w:t>
            </w:r>
            <w:proofErr w:type="spellEnd"/>
            <w:r w:rsidRPr="00F33C96">
              <w:rPr>
                <w:color w:val="00000A"/>
              </w:rPr>
              <w:t xml:space="preserve"> vyměnitelné rukojeti pro jeden satelit, s možností využití u ostatních svítidel </w:t>
            </w:r>
          </w:p>
        </w:tc>
        <w:tc>
          <w:tcPr>
            <w:tcW w:w="1276" w:type="dxa"/>
            <w:vAlign w:val="center"/>
          </w:tcPr>
          <w:p w14:paraId="1164E655"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6E51847"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D3ACF" w:rsidRPr="00DC2021" w14:paraId="0F7D1AC6" w14:textId="77777777" w:rsidTr="00A36BA3">
        <w:tc>
          <w:tcPr>
            <w:tcW w:w="4536" w:type="dxa"/>
          </w:tcPr>
          <w:p w14:paraId="47798F7E" w14:textId="0F376EBE" w:rsidR="00DD3ACF" w:rsidRDefault="00DD3ACF" w:rsidP="00DD3ACF">
            <w:pPr>
              <w:jc w:val="both"/>
            </w:pPr>
            <w:r w:rsidRPr="00F33C96">
              <w:rPr>
                <w:color w:val="00000A"/>
              </w:rPr>
              <w:t xml:space="preserve">nástěnný ovládací panel pro satelitní svítidlo </w:t>
            </w:r>
          </w:p>
        </w:tc>
        <w:tc>
          <w:tcPr>
            <w:tcW w:w="1276" w:type="dxa"/>
            <w:vAlign w:val="center"/>
          </w:tcPr>
          <w:p w14:paraId="1D82B19D"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9E48989" w14:textId="77777777" w:rsidR="00DD3ACF" w:rsidRPr="00DC2021" w:rsidRDefault="00DD3ACF" w:rsidP="00DD3AC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67220695" w14:textId="191DD100" w:rsidR="00D370BE" w:rsidRDefault="00D370BE" w:rsidP="002A27EE">
      <w:pPr>
        <w:rPr>
          <w:rFonts w:asciiTheme="minorHAnsi" w:hAnsiTheme="minorHAnsi"/>
          <w:lang w:eastAsia="en-US"/>
        </w:rPr>
      </w:pPr>
    </w:p>
    <w:p w14:paraId="0C6A128A" w14:textId="4A1F509A" w:rsidR="00C723C2" w:rsidRDefault="00C723C2" w:rsidP="00C723C2">
      <w:pPr>
        <w:rPr>
          <w:rFonts w:asciiTheme="minorHAnsi" w:hAnsiTheme="minorHAnsi"/>
          <w:b/>
          <w:bCs/>
          <w:sz w:val="22"/>
          <w:szCs w:val="22"/>
        </w:rPr>
      </w:pPr>
      <w:r w:rsidRPr="002E40E9">
        <w:rPr>
          <w:rFonts w:asciiTheme="minorHAnsi" w:hAnsiTheme="minorHAnsi"/>
          <w:b/>
          <w:bCs/>
          <w:sz w:val="22"/>
          <w:szCs w:val="22"/>
        </w:rPr>
        <w:t>Hodnocené parametry a jejich posouzení:</w:t>
      </w:r>
      <w:r w:rsidRPr="000D455C">
        <w:rPr>
          <w:rFonts w:asciiTheme="minorHAnsi" w:hAnsiTheme="minorHAnsi" w:cs="Arial"/>
          <w:b/>
          <w:sz w:val="28"/>
          <w:szCs w:val="28"/>
        </w:rPr>
        <w:t xml:space="preserve"> </w:t>
      </w:r>
    </w:p>
    <w:p w14:paraId="5C55EA43" w14:textId="683C9001" w:rsidR="00C723C2" w:rsidRDefault="00C723C2" w:rsidP="00C723C2">
      <w:pPr>
        <w:rPr>
          <w:rFonts w:asciiTheme="minorHAnsi" w:hAnsiTheme="minorHAnsi"/>
          <w:b/>
          <w:bCs/>
          <w:sz w:val="22"/>
          <w:szCs w:val="22"/>
        </w:rPr>
      </w:pPr>
      <w:r>
        <w:rPr>
          <w:rFonts w:asciiTheme="minorHAnsi" w:hAnsiTheme="minorHAnsi"/>
          <w:b/>
          <w:bCs/>
          <w:sz w:val="22"/>
          <w:szCs w:val="22"/>
        </w:rPr>
        <w:t xml:space="preserve">Kvalitativní kritéria: </w:t>
      </w:r>
      <w:r w:rsidR="000448C7">
        <w:rPr>
          <w:rFonts w:asciiTheme="minorHAnsi" w:hAnsiTheme="minorHAnsi"/>
          <w:b/>
          <w:bCs/>
          <w:sz w:val="22"/>
          <w:szCs w:val="22"/>
        </w:rPr>
        <w:t>20</w:t>
      </w:r>
      <w:r>
        <w:rPr>
          <w:rFonts w:asciiTheme="minorHAnsi" w:hAnsiTheme="minorHAnsi"/>
          <w:b/>
          <w:bCs/>
          <w:sz w:val="22"/>
          <w:szCs w:val="22"/>
        </w:rPr>
        <w:t>%</w:t>
      </w:r>
    </w:p>
    <w:p w14:paraId="6708EAAA" w14:textId="766D6ACD" w:rsidR="00C723C2" w:rsidRDefault="00C723C2" w:rsidP="00C723C2">
      <w:pPr>
        <w:rPr>
          <w:rFonts w:asciiTheme="minorHAnsi" w:hAnsiTheme="minorHAnsi"/>
          <w:b/>
          <w:bCs/>
          <w:sz w:val="22"/>
          <w:szCs w:val="22"/>
        </w:rPr>
      </w:pPr>
      <w:r>
        <w:rPr>
          <w:rFonts w:asciiTheme="minorHAnsi" w:hAnsiTheme="minorHAnsi"/>
          <w:b/>
          <w:bCs/>
          <w:sz w:val="22"/>
          <w:szCs w:val="22"/>
        </w:rPr>
        <w:t xml:space="preserve">Cena: </w:t>
      </w:r>
      <w:r w:rsidR="000448C7">
        <w:rPr>
          <w:rFonts w:asciiTheme="minorHAnsi" w:hAnsiTheme="minorHAnsi"/>
          <w:b/>
          <w:bCs/>
          <w:sz w:val="22"/>
          <w:szCs w:val="22"/>
        </w:rPr>
        <w:t>80</w:t>
      </w:r>
      <w:r>
        <w:rPr>
          <w:rFonts w:asciiTheme="minorHAnsi" w:hAnsiTheme="minorHAnsi"/>
          <w:b/>
          <w:bCs/>
          <w:sz w:val="22"/>
          <w:szCs w:val="22"/>
        </w:rPr>
        <w:t>%</w:t>
      </w:r>
    </w:p>
    <w:p w14:paraId="27E7A858" w14:textId="7D320C69" w:rsidR="00C723C2" w:rsidRDefault="00C723C2" w:rsidP="002A27EE">
      <w:pPr>
        <w:rPr>
          <w:rFonts w:asciiTheme="minorHAnsi" w:hAnsiTheme="minorHAnsi"/>
          <w:lang w:eastAsia="en-US"/>
        </w:rPr>
      </w:pPr>
    </w:p>
    <w:tbl>
      <w:tblPr>
        <w:tblpPr w:leftFromText="141" w:rightFromText="141" w:vertAnchor="text"/>
        <w:tblW w:w="9615" w:type="dxa"/>
        <w:shd w:val="clear" w:color="auto" w:fill="FFFFFF"/>
        <w:tblCellMar>
          <w:left w:w="0" w:type="dxa"/>
          <w:right w:w="0" w:type="dxa"/>
        </w:tblCellMar>
        <w:tblLook w:val="04A0" w:firstRow="1" w:lastRow="0" w:firstColumn="1" w:lastColumn="0" w:noHBand="0" w:noVBand="1"/>
      </w:tblPr>
      <w:tblGrid>
        <w:gridCol w:w="6227"/>
        <w:gridCol w:w="1134"/>
        <w:gridCol w:w="1134"/>
        <w:gridCol w:w="1120"/>
      </w:tblGrid>
      <w:tr w:rsidR="00C723C2" w:rsidRPr="002E40E9" w14:paraId="38259914" w14:textId="77777777" w:rsidTr="00EE0F79">
        <w:trPr>
          <w:trHeight w:val="660"/>
        </w:trPr>
        <w:tc>
          <w:tcPr>
            <w:tcW w:w="6227"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69ED936C" w14:textId="5F7EDD5B" w:rsidR="00C723C2" w:rsidRPr="002E40E9" w:rsidRDefault="00F82091" w:rsidP="002B031B">
            <w:pPr>
              <w:rPr>
                <w:rFonts w:asciiTheme="minorHAnsi" w:hAnsiTheme="minorHAnsi" w:cs="Arial"/>
                <w:sz w:val="18"/>
                <w:szCs w:val="18"/>
              </w:rPr>
            </w:pPr>
            <w:r>
              <w:rPr>
                <w:rFonts w:asciiTheme="minorHAnsi" w:hAnsiTheme="minorHAnsi" w:cs="Arial"/>
                <w:b/>
                <w:bCs/>
                <w:szCs w:val="20"/>
              </w:rPr>
              <w:t xml:space="preserve">Minimální garantovaná živostnost LED </w:t>
            </w:r>
            <w:r w:rsidR="005E4AB6">
              <w:rPr>
                <w:rFonts w:asciiTheme="minorHAnsi" w:hAnsiTheme="minorHAnsi" w:cs="Arial"/>
                <w:b/>
                <w:bCs/>
                <w:szCs w:val="20"/>
              </w:rPr>
              <w:t>diod</w:t>
            </w:r>
          </w:p>
        </w:tc>
        <w:tc>
          <w:tcPr>
            <w:tcW w:w="113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A3D7DC9" w14:textId="1817696F" w:rsidR="00C723C2" w:rsidRPr="007535AE" w:rsidRDefault="00F82091" w:rsidP="002B031B">
            <w:pPr>
              <w:jc w:val="center"/>
              <w:rPr>
                <w:rFonts w:asciiTheme="minorHAnsi" w:hAnsiTheme="minorHAnsi" w:cs="Arial"/>
                <w:b/>
                <w:bCs/>
                <w:sz w:val="18"/>
                <w:szCs w:val="18"/>
              </w:rPr>
            </w:pPr>
            <w:r>
              <w:rPr>
                <w:rFonts w:asciiTheme="minorHAnsi" w:hAnsiTheme="minorHAnsi" w:cs="Arial"/>
                <w:b/>
                <w:bCs/>
                <w:szCs w:val="18"/>
              </w:rPr>
              <w:t>hodin</w:t>
            </w:r>
          </w:p>
        </w:tc>
        <w:tc>
          <w:tcPr>
            <w:tcW w:w="113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40F62E9" w14:textId="77777777" w:rsidR="00C723C2" w:rsidRPr="002E40E9" w:rsidRDefault="00C723C2" w:rsidP="002B031B">
            <w:pPr>
              <w:jc w:val="center"/>
              <w:rPr>
                <w:rFonts w:asciiTheme="minorHAnsi" w:hAnsiTheme="minorHAnsi" w:cs="Arial"/>
                <w:sz w:val="18"/>
                <w:szCs w:val="18"/>
              </w:rPr>
            </w:pPr>
            <w:proofErr w:type="gramStart"/>
            <w:r>
              <w:rPr>
                <w:rFonts w:asciiTheme="minorHAnsi" w:hAnsiTheme="minorHAnsi" w:cs="Arial"/>
                <w:b/>
                <w:bCs/>
                <w:szCs w:val="20"/>
              </w:rPr>
              <w:t>5</w:t>
            </w:r>
            <w:r w:rsidRPr="002E40E9">
              <w:rPr>
                <w:rFonts w:asciiTheme="minorHAnsi" w:hAnsiTheme="minorHAnsi" w:cs="Arial"/>
                <w:b/>
                <w:bCs/>
                <w:szCs w:val="20"/>
              </w:rPr>
              <w:t>%</w:t>
            </w:r>
            <w:proofErr w:type="gramEnd"/>
          </w:p>
        </w:tc>
        <w:tc>
          <w:tcPr>
            <w:tcW w:w="1120" w:type="dxa"/>
            <w:tcBorders>
              <w:top w:val="single" w:sz="8" w:space="0" w:color="auto"/>
              <w:left w:val="nil"/>
              <w:bottom w:val="single" w:sz="8" w:space="0" w:color="auto"/>
              <w:right w:val="single" w:sz="8" w:space="0" w:color="auto"/>
            </w:tcBorders>
            <w:shd w:val="clear" w:color="auto" w:fill="FFFFFF"/>
            <w:vAlign w:val="center"/>
          </w:tcPr>
          <w:p w14:paraId="5D5244C8" w14:textId="1EB5F3C5" w:rsidR="00C723C2" w:rsidRPr="002E40E9" w:rsidRDefault="00F82091" w:rsidP="002B031B">
            <w:pPr>
              <w:jc w:val="center"/>
              <w:rPr>
                <w:rFonts w:asciiTheme="minorHAnsi" w:hAnsiTheme="minorHAnsi" w:cs="Arial"/>
                <w:b/>
                <w:bCs/>
                <w:szCs w:val="20"/>
              </w:rPr>
            </w:pPr>
            <w:r>
              <w:rPr>
                <w:rFonts w:asciiTheme="minorHAnsi" w:hAnsiTheme="minorHAnsi" w:cs="Arial"/>
                <w:b/>
                <w:szCs w:val="20"/>
              </w:rPr>
              <w:t>větší</w:t>
            </w:r>
            <w:r w:rsidR="00C723C2" w:rsidRPr="002E40E9">
              <w:rPr>
                <w:rFonts w:asciiTheme="minorHAnsi" w:hAnsiTheme="minorHAnsi" w:cs="Arial"/>
                <w:b/>
                <w:bCs/>
                <w:szCs w:val="20"/>
              </w:rPr>
              <w:t xml:space="preserve"> je lepší</w:t>
            </w:r>
          </w:p>
        </w:tc>
      </w:tr>
      <w:tr w:rsidR="00C723C2" w:rsidRPr="002E40E9" w14:paraId="33418D61" w14:textId="77777777" w:rsidTr="00EE0F79">
        <w:trPr>
          <w:trHeight w:val="660"/>
        </w:trPr>
        <w:tc>
          <w:tcPr>
            <w:tcW w:w="6227"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156E67BD" w14:textId="33C43A8E" w:rsidR="00C723C2" w:rsidRPr="002E40E9" w:rsidRDefault="003453C1" w:rsidP="002B031B">
            <w:pPr>
              <w:rPr>
                <w:rFonts w:asciiTheme="minorHAnsi" w:hAnsiTheme="minorHAnsi" w:cs="Arial"/>
                <w:sz w:val="18"/>
                <w:szCs w:val="18"/>
              </w:rPr>
            </w:pPr>
            <w:r>
              <w:rPr>
                <w:rFonts w:asciiTheme="minorHAnsi" w:hAnsiTheme="minorHAnsi" w:cs="Arial"/>
                <w:b/>
                <w:bCs/>
                <w:szCs w:val="20"/>
              </w:rPr>
              <w:t>Rozsah b</w:t>
            </w:r>
            <w:r w:rsidRPr="003453C1">
              <w:rPr>
                <w:rFonts w:asciiTheme="minorHAnsi" w:hAnsiTheme="minorHAnsi" w:cs="Arial"/>
                <w:b/>
                <w:bCs/>
                <w:szCs w:val="20"/>
              </w:rPr>
              <w:t>arevn</w:t>
            </w:r>
            <w:r>
              <w:rPr>
                <w:rFonts w:asciiTheme="minorHAnsi" w:hAnsiTheme="minorHAnsi" w:cs="Arial"/>
                <w:b/>
                <w:bCs/>
                <w:szCs w:val="20"/>
              </w:rPr>
              <w:t>é</w:t>
            </w:r>
            <w:r w:rsidRPr="003453C1">
              <w:rPr>
                <w:rFonts w:asciiTheme="minorHAnsi" w:hAnsiTheme="minorHAnsi" w:cs="Arial"/>
                <w:b/>
                <w:bCs/>
                <w:szCs w:val="20"/>
              </w:rPr>
              <w:t xml:space="preserve"> teplot</w:t>
            </w:r>
            <w:r>
              <w:rPr>
                <w:rFonts w:asciiTheme="minorHAnsi" w:hAnsiTheme="minorHAnsi" w:cs="Arial"/>
                <w:b/>
                <w:bCs/>
                <w:szCs w:val="20"/>
              </w:rPr>
              <w:t>y</w:t>
            </w:r>
            <w:r w:rsidR="005E4AB6">
              <w:rPr>
                <w:rFonts w:asciiTheme="minorHAnsi" w:hAnsiTheme="minorHAnsi" w:cs="Arial"/>
                <w:b/>
                <w:bCs/>
                <w:szCs w:val="20"/>
              </w:rPr>
              <w:t xml:space="preserve"> světla</w:t>
            </w:r>
          </w:p>
        </w:tc>
        <w:tc>
          <w:tcPr>
            <w:tcW w:w="113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78E7E79" w14:textId="7D562797" w:rsidR="00C723C2" w:rsidRPr="002E40E9" w:rsidRDefault="003453C1" w:rsidP="002B031B">
            <w:pPr>
              <w:jc w:val="center"/>
              <w:rPr>
                <w:rFonts w:asciiTheme="minorHAnsi" w:hAnsiTheme="minorHAnsi" w:cs="Arial"/>
                <w:sz w:val="18"/>
                <w:szCs w:val="18"/>
              </w:rPr>
            </w:pPr>
            <w:r>
              <w:rPr>
                <w:rFonts w:asciiTheme="minorHAnsi" w:hAnsiTheme="minorHAnsi" w:cs="Arial"/>
                <w:b/>
                <w:bCs/>
                <w:szCs w:val="20"/>
              </w:rPr>
              <w:t>°K</w:t>
            </w:r>
          </w:p>
        </w:tc>
        <w:tc>
          <w:tcPr>
            <w:tcW w:w="113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096C65E" w14:textId="77777777" w:rsidR="00C723C2" w:rsidRPr="002E40E9" w:rsidRDefault="00C723C2" w:rsidP="002B031B">
            <w:pPr>
              <w:jc w:val="center"/>
              <w:rPr>
                <w:rFonts w:asciiTheme="minorHAnsi" w:hAnsiTheme="minorHAnsi" w:cs="Arial"/>
                <w:sz w:val="18"/>
                <w:szCs w:val="18"/>
              </w:rPr>
            </w:pPr>
            <w:proofErr w:type="gramStart"/>
            <w:r>
              <w:rPr>
                <w:rFonts w:asciiTheme="minorHAnsi" w:hAnsiTheme="minorHAnsi" w:cs="Arial"/>
                <w:b/>
                <w:bCs/>
                <w:szCs w:val="20"/>
              </w:rPr>
              <w:t>5</w:t>
            </w:r>
            <w:r w:rsidRPr="002E40E9">
              <w:rPr>
                <w:rFonts w:asciiTheme="minorHAnsi" w:hAnsiTheme="minorHAnsi" w:cs="Arial"/>
                <w:b/>
                <w:bCs/>
                <w:szCs w:val="20"/>
              </w:rPr>
              <w:t>%</w:t>
            </w:r>
            <w:proofErr w:type="gramEnd"/>
          </w:p>
        </w:tc>
        <w:tc>
          <w:tcPr>
            <w:tcW w:w="1120" w:type="dxa"/>
            <w:tcBorders>
              <w:top w:val="nil"/>
              <w:left w:val="nil"/>
              <w:bottom w:val="single" w:sz="8" w:space="0" w:color="auto"/>
              <w:right w:val="single" w:sz="8" w:space="0" w:color="auto"/>
            </w:tcBorders>
            <w:shd w:val="clear" w:color="auto" w:fill="FFFFFF"/>
            <w:vAlign w:val="center"/>
          </w:tcPr>
          <w:p w14:paraId="7344D8E4" w14:textId="772E8DA2" w:rsidR="00C723C2" w:rsidRPr="002E40E9" w:rsidRDefault="003453C1" w:rsidP="002B031B">
            <w:pPr>
              <w:jc w:val="center"/>
              <w:rPr>
                <w:rFonts w:asciiTheme="minorHAnsi" w:hAnsiTheme="minorHAnsi" w:cs="Arial"/>
                <w:b/>
                <w:bCs/>
                <w:szCs w:val="20"/>
              </w:rPr>
            </w:pPr>
            <w:r>
              <w:rPr>
                <w:rFonts w:asciiTheme="minorHAnsi" w:hAnsiTheme="minorHAnsi" w:cs="Arial"/>
                <w:b/>
                <w:bCs/>
                <w:szCs w:val="20"/>
              </w:rPr>
              <w:t>větší</w:t>
            </w:r>
            <w:r w:rsidR="00C723C2" w:rsidRPr="002E40E9">
              <w:rPr>
                <w:rFonts w:asciiTheme="minorHAnsi" w:hAnsiTheme="minorHAnsi" w:cs="Arial"/>
                <w:b/>
                <w:bCs/>
                <w:szCs w:val="20"/>
              </w:rPr>
              <w:t xml:space="preserve"> je lepší </w:t>
            </w:r>
          </w:p>
        </w:tc>
      </w:tr>
      <w:tr w:rsidR="00C723C2" w:rsidRPr="002E40E9" w14:paraId="0AA6BDF9" w14:textId="77777777" w:rsidTr="00EE0F79">
        <w:trPr>
          <w:trHeight w:val="660"/>
        </w:trPr>
        <w:tc>
          <w:tcPr>
            <w:tcW w:w="6227" w:type="dxa"/>
            <w:tcBorders>
              <w:top w:val="single" w:sz="8" w:space="0" w:color="auto"/>
              <w:left w:val="single" w:sz="8" w:space="0" w:color="auto"/>
              <w:bottom w:val="single" w:sz="4" w:space="0" w:color="auto"/>
              <w:right w:val="single" w:sz="8" w:space="0" w:color="auto"/>
            </w:tcBorders>
            <w:shd w:val="clear" w:color="auto" w:fill="FFFFFF"/>
            <w:tcMar>
              <w:top w:w="0" w:type="dxa"/>
              <w:left w:w="70" w:type="dxa"/>
              <w:bottom w:w="0" w:type="dxa"/>
              <w:right w:w="70" w:type="dxa"/>
            </w:tcMar>
            <w:vAlign w:val="center"/>
          </w:tcPr>
          <w:p w14:paraId="74D9811A" w14:textId="6A8B884F" w:rsidR="00C723C2" w:rsidRPr="002E40E9" w:rsidRDefault="00C62F2E" w:rsidP="002B031B">
            <w:pPr>
              <w:rPr>
                <w:rFonts w:asciiTheme="minorHAnsi" w:hAnsiTheme="minorHAnsi" w:cs="Arial"/>
                <w:sz w:val="18"/>
                <w:szCs w:val="18"/>
              </w:rPr>
            </w:pPr>
            <w:r w:rsidRPr="00C62F2E">
              <w:rPr>
                <w:rFonts w:asciiTheme="minorHAnsi" w:hAnsiTheme="minorHAnsi" w:cs="Arial"/>
                <w:b/>
                <w:bCs/>
                <w:szCs w:val="20"/>
              </w:rPr>
              <w:t>Intenzita osvětlení ve vzdálenosti 1 m u satelitního svítidla</w:t>
            </w:r>
          </w:p>
        </w:tc>
        <w:tc>
          <w:tcPr>
            <w:tcW w:w="1134" w:type="dxa"/>
            <w:tcBorders>
              <w:top w:val="single" w:sz="8" w:space="0" w:color="auto"/>
              <w:left w:val="nil"/>
              <w:bottom w:val="single" w:sz="4" w:space="0" w:color="auto"/>
              <w:right w:val="single" w:sz="8" w:space="0" w:color="auto"/>
            </w:tcBorders>
            <w:shd w:val="clear" w:color="auto" w:fill="FFFFFF"/>
            <w:tcMar>
              <w:top w:w="0" w:type="dxa"/>
              <w:left w:w="70" w:type="dxa"/>
              <w:bottom w:w="0" w:type="dxa"/>
              <w:right w:w="70" w:type="dxa"/>
            </w:tcMar>
            <w:vAlign w:val="center"/>
            <w:hideMark/>
          </w:tcPr>
          <w:p w14:paraId="573AAB7E" w14:textId="6133F90F" w:rsidR="00C723C2" w:rsidRPr="007535AE" w:rsidRDefault="001539EB" w:rsidP="002B031B">
            <w:pPr>
              <w:jc w:val="center"/>
              <w:rPr>
                <w:rFonts w:asciiTheme="minorHAnsi" w:hAnsiTheme="minorHAnsi" w:cs="Arial"/>
                <w:b/>
                <w:bCs/>
                <w:sz w:val="18"/>
                <w:szCs w:val="18"/>
              </w:rPr>
            </w:pPr>
            <w:r>
              <w:rPr>
                <w:rFonts w:asciiTheme="minorHAnsi" w:hAnsiTheme="minorHAnsi" w:cs="Arial"/>
                <w:b/>
                <w:bCs/>
                <w:szCs w:val="18"/>
              </w:rPr>
              <w:t>lux</w:t>
            </w:r>
          </w:p>
        </w:tc>
        <w:tc>
          <w:tcPr>
            <w:tcW w:w="1134" w:type="dxa"/>
            <w:tcBorders>
              <w:top w:val="single" w:sz="8" w:space="0" w:color="auto"/>
              <w:left w:val="nil"/>
              <w:bottom w:val="single" w:sz="4" w:space="0" w:color="auto"/>
              <w:right w:val="single" w:sz="8" w:space="0" w:color="auto"/>
            </w:tcBorders>
            <w:shd w:val="clear" w:color="auto" w:fill="FFFFFF"/>
            <w:tcMar>
              <w:top w:w="0" w:type="dxa"/>
              <w:left w:w="70" w:type="dxa"/>
              <w:bottom w:w="0" w:type="dxa"/>
              <w:right w:w="70" w:type="dxa"/>
            </w:tcMar>
            <w:vAlign w:val="center"/>
            <w:hideMark/>
          </w:tcPr>
          <w:p w14:paraId="00D1F418" w14:textId="77777777" w:rsidR="00C723C2" w:rsidRPr="002E40E9" w:rsidRDefault="00C723C2" w:rsidP="002B031B">
            <w:pPr>
              <w:jc w:val="center"/>
              <w:rPr>
                <w:rFonts w:asciiTheme="minorHAnsi" w:hAnsiTheme="minorHAnsi" w:cs="Arial"/>
                <w:sz w:val="18"/>
                <w:szCs w:val="18"/>
              </w:rPr>
            </w:pPr>
            <w:proofErr w:type="gramStart"/>
            <w:r>
              <w:rPr>
                <w:rFonts w:asciiTheme="minorHAnsi" w:hAnsiTheme="minorHAnsi" w:cs="Arial"/>
                <w:b/>
                <w:bCs/>
                <w:szCs w:val="20"/>
              </w:rPr>
              <w:t>5%</w:t>
            </w:r>
            <w:proofErr w:type="gramEnd"/>
          </w:p>
        </w:tc>
        <w:tc>
          <w:tcPr>
            <w:tcW w:w="1120" w:type="dxa"/>
            <w:tcBorders>
              <w:top w:val="single" w:sz="8" w:space="0" w:color="auto"/>
              <w:left w:val="nil"/>
              <w:bottom w:val="single" w:sz="4" w:space="0" w:color="auto"/>
              <w:right w:val="single" w:sz="8" w:space="0" w:color="auto"/>
            </w:tcBorders>
            <w:shd w:val="clear" w:color="auto" w:fill="FFFFFF"/>
            <w:vAlign w:val="center"/>
          </w:tcPr>
          <w:p w14:paraId="118DDEBD" w14:textId="6DF33A28" w:rsidR="00C723C2" w:rsidRPr="002E40E9" w:rsidRDefault="001539EB" w:rsidP="002B031B">
            <w:pPr>
              <w:jc w:val="center"/>
              <w:rPr>
                <w:rFonts w:asciiTheme="minorHAnsi" w:hAnsiTheme="minorHAnsi" w:cs="Arial"/>
                <w:b/>
                <w:bCs/>
                <w:szCs w:val="20"/>
              </w:rPr>
            </w:pPr>
            <w:r>
              <w:rPr>
                <w:rFonts w:asciiTheme="minorHAnsi" w:hAnsiTheme="minorHAnsi" w:cs="Arial"/>
                <w:b/>
                <w:bCs/>
                <w:szCs w:val="20"/>
              </w:rPr>
              <w:t>větší</w:t>
            </w:r>
            <w:r w:rsidR="00C723C2" w:rsidRPr="002E40E9">
              <w:rPr>
                <w:rFonts w:asciiTheme="minorHAnsi" w:hAnsiTheme="minorHAnsi" w:cs="Arial"/>
                <w:b/>
                <w:bCs/>
                <w:szCs w:val="20"/>
              </w:rPr>
              <w:t xml:space="preserve"> je lepší</w:t>
            </w:r>
          </w:p>
        </w:tc>
      </w:tr>
      <w:tr w:rsidR="006936B5" w:rsidRPr="002E40E9" w14:paraId="0CD80557" w14:textId="77777777" w:rsidTr="00EE0F79">
        <w:trPr>
          <w:trHeight w:val="660"/>
        </w:trPr>
        <w:tc>
          <w:tcPr>
            <w:tcW w:w="6227" w:type="dxa"/>
            <w:tcBorders>
              <w:top w:val="single" w:sz="4"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D0CFF9E" w14:textId="5EFF78F0" w:rsidR="006936B5" w:rsidRPr="00C62F2E" w:rsidRDefault="006936B5" w:rsidP="002B031B">
            <w:pPr>
              <w:rPr>
                <w:rFonts w:asciiTheme="minorHAnsi" w:hAnsiTheme="minorHAnsi" w:cs="Arial"/>
                <w:b/>
                <w:bCs/>
                <w:szCs w:val="20"/>
              </w:rPr>
            </w:pPr>
            <w:r>
              <w:rPr>
                <w:rFonts w:asciiTheme="minorHAnsi" w:hAnsiTheme="minorHAnsi" w:cs="Arial"/>
                <w:b/>
                <w:bCs/>
                <w:szCs w:val="20"/>
              </w:rPr>
              <w:t>Index podání barev R9</w:t>
            </w:r>
          </w:p>
        </w:tc>
        <w:tc>
          <w:tcPr>
            <w:tcW w:w="1134" w:type="dxa"/>
            <w:tcBorders>
              <w:top w:val="single" w:sz="4"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36B71DE0" w14:textId="7441558C" w:rsidR="006936B5" w:rsidRDefault="006936B5" w:rsidP="002B031B">
            <w:pPr>
              <w:jc w:val="center"/>
              <w:rPr>
                <w:rFonts w:asciiTheme="minorHAnsi" w:hAnsiTheme="minorHAnsi" w:cs="Arial"/>
                <w:b/>
                <w:bCs/>
                <w:szCs w:val="18"/>
              </w:rPr>
            </w:pPr>
            <w:r>
              <w:rPr>
                <w:rFonts w:asciiTheme="minorHAnsi" w:hAnsiTheme="minorHAnsi" w:cs="Arial"/>
                <w:b/>
                <w:bCs/>
                <w:szCs w:val="18"/>
              </w:rPr>
              <w:t>číslo</w:t>
            </w:r>
          </w:p>
        </w:tc>
        <w:tc>
          <w:tcPr>
            <w:tcW w:w="1134" w:type="dxa"/>
            <w:tcBorders>
              <w:top w:val="single" w:sz="4"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2A01ED2C" w14:textId="6EE16D20" w:rsidR="006936B5" w:rsidRDefault="006936B5" w:rsidP="002B031B">
            <w:pPr>
              <w:jc w:val="center"/>
              <w:rPr>
                <w:rFonts w:asciiTheme="minorHAnsi" w:hAnsiTheme="minorHAnsi" w:cs="Arial"/>
                <w:b/>
                <w:bCs/>
                <w:szCs w:val="20"/>
              </w:rPr>
            </w:pPr>
            <w:proofErr w:type="gramStart"/>
            <w:r>
              <w:rPr>
                <w:rFonts w:asciiTheme="minorHAnsi" w:hAnsiTheme="minorHAnsi" w:cs="Arial"/>
                <w:b/>
                <w:bCs/>
                <w:szCs w:val="20"/>
              </w:rPr>
              <w:t>5%</w:t>
            </w:r>
            <w:proofErr w:type="gramEnd"/>
          </w:p>
        </w:tc>
        <w:tc>
          <w:tcPr>
            <w:tcW w:w="1120" w:type="dxa"/>
            <w:tcBorders>
              <w:top w:val="single" w:sz="4" w:space="0" w:color="auto"/>
              <w:left w:val="nil"/>
              <w:bottom w:val="single" w:sz="8" w:space="0" w:color="auto"/>
              <w:right w:val="single" w:sz="8" w:space="0" w:color="auto"/>
            </w:tcBorders>
            <w:shd w:val="clear" w:color="auto" w:fill="FFFFFF"/>
            <w:vAlign w:val="center"/>
          </w:tcPr>
          <w:p w14:paraId="26F47FD0" w14:textId="0B81A77A" w:rsidR="006936B5" w:rsidRDefault="006936B5" w:rsidP="002B031B">
            <w:pPr>
              <w:jc w:val="center"/>
              <w:rPr>
                <w:rFonts w:asciiTheme="minorHAnsi" w:hAnsiTheme="minorHAnsi" w:cs="Arial"/>
                <w:b/>
                <w:bCs/>
                <w:szCs w:val="20"/>
              </w:rPr>
            </w:pPr>
            <w:r>
              <w:rPr>
                <w:rFonts w:asciiTheme="minorHAnsi" w:hAnsiTheme="minorHAnsi" w:cs="Arial"/>
                <w:b/>
                <w:bCs/>
                <w:szCs w:val="20"/>
              </w:rPr>
              <w:t>Větší je lepší</w:t>
            </w:r>
          </w:p>
        </w:tc>
      </w:tr>
    </w:tbl>
    <w:p w14:paraId="04130D30" w14:textId="77777777" w:rsidR="00C723C2" w:rsidRPr="00DC2021" w:rsidRDefault="00C723C2" w:rsidP="002A27EE">
      <w:pPr>
        <w:rPr>
          <w:rFonts w:asciiTheme="minorHAnsi" w:hAnsiTheme="minorHAnsi"/>
          <w:lang w:eastAsia="en-US"/>
        </w:rPr>
      </w:pPr>
    </w:p>
    <w:p w14:paraId="1F637FA3" w14:textId="77777777" w:rsidR="00D7314B" w:rsidRPr="00DC2021" w:rsidRDefault="00D7314B" w:rsidP="00D7314B">
      <w:pPr>
        <w:pStyle w:val="Nadpis2"/>
        <w:spacing w:before="240"/>
        <w:rPr>
          <w:rFonts w:asciiTheme="minorHAnsi" w:hAnsiTheme="minorHAnsi"/>
          <w:sz w:val="22"/>
          <w:szCs w:val="22"/>
        </w:rPr>
      </w:pPr>
      <w:r w:rsidRPr="00DD3ACF">
        <w:rPr>
          <w:rFonts w:asciiTheme="minorHAnsi" w:hAnsiTheme="minorHAnsi"/>
          <w:sz w:val="22"/>
          <w:szCs w:val="22"/>
        </w:rPr>
        <w:t xml:space="preserve">Na všechny číselné parametry je tolerance +/- </w:t>
      </w:r>
      <w:proofErr w:type="gramStart"/>
      <w:r w:rsidRPr="00DD3ACF">
        <w:rPr>
          <w:rFonts w:asciiTheme="minorHAnsi" w:hAnsiTheme="minorHAnsi"/>
          <w:sz w:val="22"/>
          <w:szCs w:val="22"/>
        </w:rPr>
        <w:t>10%</w:t>
      </w:r>
      <w:proofErr w:type="gramEnd"/>
      <w:r w:rsidRPr="00DD3ACF">
        <w:rPr>
          <w:rFonts w:asciiTheme="minorHAnsi" w:hAnsiTheme="minorHAnsi"/>
          <w:sz w:val="22"/>
          <w:szCs w:val="22"/>
        </w:rPr>
        <w:t>, mimo číselné parametry uvedené jako min. nebo max.</w:t>
      </w:r>
    </w:p>
    <w:p w14:paraId="47244D35" w14:textId="14321960" w:rsidR="00D7314B" w:rsidRDefault="00D7314B" w:rsidP="002A27EE">
      <w:pPr>
        <w:rPr>
          <w:rFonts w:asciiTheme="minorHAnsi" w:hAnsiTheme="minorHAnsi"/>
          <w:lang w:eastAsia="en-US"/>
        </w:rPr>
      </w:pPr>
    </w:p>
    <w:p w14:paraId="610428CD" w14:textId="779E31C3" w:rsidR="001336D2" w:rsidRDefault="001336D2" w:rsidP="002A27EE">
      <w:pPr>
        <w:rPr>
          <w:rFonts w:asciiTheme="minorHAnsi" w:hAnsiTheme="minorHAnsi"/>
          <w:lang w:eastAsia="en-US"/>
        </w:rPr>
      </w:pPr>
    </w:p>
    <w:p w14:paraId="0AE7F842" w14:textId="77777777" w:rsidR="001336D2" w:rsidRDefault="001336D2" w:rsidP="002A27EE">
      <w:pPr>
        <w:rPr>
          <w:rFonts w:asciiTheme="minorHAnsi" w:hAnsiTheme="minorHAnsi"/>
          <w:lang w:eastAsia="en-US"/>
        </w:rPr>
      </w:pPr>
    </w:p>
    <w:p w14:paraId="717F2439" w14:textId="77777777" w:rsidR="001336D2" w:rsidRDefault="001336D2" w:rsidP="001336D2">
      <w:pPr>
        <w:pStyle w:val="Nadpis5"/>
        <w:rPr>
          <w:bCs/>
          <w:lang w:eastAsia="en-US"/>
        </w:rPr>
      </w:pPr>
      <w:bookmarkStart w:id="1" w:name="_Hlk46760721"/>
      <w:r>
        <w:rPr>
          <w:bCs/>
          <w:lang w:eastAsia="en-US"/>
        </w:rPr>
        <w:t xml:space="preserve">B) Požadavky, které budou součástí dodávky předmětu plnění </w:t>
      </w:r>
    </w:p>
    <w:p w14:paraId="359D9672" w14:textId="77777777" w:rsidR="001336D2" w:rsidRDefault="001336D2" w:rsidP="001336D2">
      <w:pPr>
        <w:rPr>
          <w:lang w:eastAsia="en-US"/>
        </w:rPr>
      </w:pPr>
    </w:p>
    <w:p w14:paraId="082EDE5A" w14:textId="79A15114" w:rsidR="001336D2" w:rsidRDefault="001336D2" w:rsidP="001336D2">
      <w:pPr>
        <w:rPr>
          <w:rFonts w:asciiTheme="minorHAnsi" w:hAnsiTheme="minorHAnsi"/>
          <w:lang w:eastAsia="en-US"/>
        </w:rPr>
      </w:pPr>
      <w:r>
        <w:rPr>
          <w:lang w:eastAsia="en-US"/>
        </w:rPr>
        <w:t>DODAVATEL MÁ POVINNOST VYPLNIT SPLNĚNÍ POŽADAVKU V TABULCE ANO/NE. SPNĚNÍ UVEDENÝCH POŽADAVKŮ POŽADUJE ZADAVATEL V RÁMCI DODÁVKY PŘEDMĚTU PLNĚNÍ.</w:t>
      </w:r>
      <w:bookmarkEnd w:id="1"/>
    </w:p>
    <w:p w14:paraId="0107150A" w14:textId="77777777" w:rsidR="001336D2" w:rsidRPr="00DC2021" w:rsidRDefault="001336D2" w:rsidP="002A27EE">
      <w:pPr>
        <w:rPr>
          <w:rFonts w:asciiTheme="minorHAnsi" w:hAnsiTheme="minorHAnsi"/>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DC2021" w14:paraId="7C96A110" w14:textId="77777777" w:rsidTr="0065447C">
        <w:trPr>
          <w:tblHeader/>
          <w:jc w:val="center"/>
        </w:trPr>
        <w:tc>
          <w:tcPr>
            <w:tcW w:w="7797" w:type="dxa"/>
            <w:shd w:val="clear" w:color="auto" w:fill="F7CAAC" w:themeFill="accent2" w:themeFillTint="66"/>
          </w:tcPr>
          <w:p w14:paraId="56B2BE8C" w14:textId="77777777" w:rsidR="0065447C" w:rsidRPr="00DC2021" w:rsidRDefault="0065447C"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p>
          <w:p w14:paraId="2244E7F6" w14:textId="234F1F13" w:rsidR="0065447C" w:rsidRPr="00DC2021" w:rsidRDefault="001336D2"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r w:rsidRPr="001336D2">
              <w:rPr>
                <w:rFonts w:asciiTheme="minorHAnsi" w:eastAsia="Times New Roman" w:hAnsiTheme="minorHAnsi" w:cs="Times New Roman"/>
                <w:lang w:eastAsia="cs-CZ"/>
              </w:rPr>
              <w:t>Požadavky, které budou součástí dodávky předmětu plnění</w:t>
            </w:r>
          </w:p>
        </w:tc>
        <w:tc>
          <w:tcPr>
            <w:tcW w:w="1842" w:type="dxa"/>
            <w:shd w:val="clear" w:color="auto" w:fill="F7CAAC" w:themeFill="accent2" w:themeFillTint="66"/>
          </w:tcPr>
          <w:p w14:paraId="48839FCF" w14:textId="77777777" w:rsidR="0065447C" w:rsidRPr="00DC2021" w:rsidRDefault="0065447C" w:rsidP="00393D63">
            <w:pPr>
              <w:autoSpaceDE w:val="0"/>
              <w:autoSpaceDN w:val="0"/>
              <w:adjustRightInd w:val="0"/>
              <w:jc w:val="center"/>
              <w:rPr>
                <w:rFonts w:asciiTheme="minorHAnsi" w:hAnsiTheme="minorHAnsi"/>
                <w:b/>
                <w:sz w:val="22"/>
                <w:szCs w:val="22"/>
              </w:rPr>
            </w:pPr>
            <w:r w:rsidRPr="00DC2021">
              <w:rPr>
                <w:rFonts w:asciiTheme="minorHAnsi" w:hAnsiTheme="minorHAnsi"/>
                <w:b/>
                <w:sz w:val="22"/>
                <w:szCs w:val="22"/>
              </w:rPr>
              <w:t>Splnění požadavku ANO/NE</w:t>
            </w:r>
          </w:p>
        </w:tc>
      </w:tr>
      <w:tr w:rsidR="0065447C" w:rsidRPr="00DC2021" w14:paraId="4F170308" w14:textId="77777777" w:rsidTr="0065447C">
        <w:trPr>
          <w:jc w:val="center"/>
        </w:trPr>
        <w:tc>
          <w:tcPr>
            <w:tcW w:w="7797" w:type="dxa"/>
            <w:vAlign w:val="center"/>
          </w:tcPr>
          <w:p w14:paraId="39ADCCFD" w14:textId="77777777" w:rsidR="0065447C" w:rsidRPr="00DC2021" w:rsidRDefault="0065447C" w:rsidP="000C4921">
            <w:pPr>
              <w:autoSpaceDE w:val="0"/>
              <w:autoSpaceDN w:val="0"/>
              <w:adjustRightInd w:val="0"/>
              <w:rPr>
                <w:rFonts w:asciiTheme="minorHAnsi" w:hAnsiTheme="minorHAnsi" w:cs="Calibri"/>
                <w:b/>
                <w:bCs/>
                <w:sz w:val="22"/>
                <w:szCs w:val="22"/>
              </w:rPr>
            </w:pPr>
            <w:r w:rsidRPr="00DC2021">
              <w:rPr>
                <w:rFonts w:asciiTheme="minorHAnsi" w:hAnsiTheme="minorHAns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B9DC838"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7F61096" w14:textId="77777777" w:rsidTr="0065447C">
        <w:trPr>
          <w:jc w:val="center"/>
        </w:trPr>
        <w:tc>
          <w:tcPr>
            <w:tcW w:w="7797" w:type="dxa"/>
            <w:vAlign w:val="center"/>
          </w:tcPr>
          <w:p w14:paraId="40DC18F5"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lastRenderedPageBreak/>
              <w:t>Dodání návodu k použití v ČJ a prohlášení o shodě v papírové i elektronické verzi.</w:t>
            </w:r>
          </w:p>
        </w:tc>
        <w:tc>
          <w:tcPr>
            <w:tcW w:w="1842" w:type="dxa"/>
            <w:vAlign w:val="center"/>
          </w:tcPr>
          <w:p w14:paraId="56B63AAE"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4B5AE4E" w14:textId="77777777" w:rsidTr="0065447C">
        <w:trPr>
          <w:jc w:val="center"/>
        </w:trPr>
        <w:tc>
          <w:tcPr>
            <w:tcW w:w="7797" w:type="dxa"/>
            <w:vAlign w:val="center"/>
          </w:tcPr>
          <w:p w14:paraId="25E70922"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Provedení zaškolení (instruktáže) obsluhy včetně vyhotovení zápisu.</w:t>
            </w:r>
          </w:p>
        </w:tc>
        <w:tc>
          <w:tcPr>
            <w:tcW w:w="1842" w:type="dxa"/>
            <w:vAlign w:val="center"/>
          </w:tcPr>
          <w:p w14:paraId="2B56317F"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50CC24A8" w14:textId="77777777" w:rsidTr="0065447C">
        <w:trPr>
          <w:jc w:val="center"/>
        </w:trPr>
        <w:tc>
          <w:tcPr>
            <w:tcW w:w="7797" w:type="dxa"/>
            <w:vAlign w:val="center"/>
          </w:tcPr>
          <w:p w14:paraId="68EC9FA7"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oprávnění školitele (od výrobce) k provádění instruktáže.</w:t>
            </w:r>
          </w:p>
        </w:tc>
        <w:tc>
          <w:tcPr>
            <w:tcW w:w="1842" w:type="dxa"/>
            <w:vAlign w:val="center"/>
          </w:tcPr>
          <w:p w14:paraId="58B5C825"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BE37D45" w14:textId="77777777" w:rsidTr="0065447C">
        <w:trPr>
          <w:jc w:val="center"/>
        </w:trPr>
        <w:tc>
          <w:tcPr>
            <w:tcW w:w="7797" w:type="dxa"/>
            <w:vAlign w:val="center"/>
          </w:tcPr>
          <w:p w14:paraId="42A72C7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dokumentace prokazující oprávnění k údržbě dodaného zdravotnického prostředku.</w:t>
            </w:r>
          </w:p>
        </w:tc>
        <w:tc>
          <w:tcPr>
            <w:tcW w:w="1842" w:type="dxa"/>
            <w:vAlign w:val="center"/>
          </w:tcPr>
          <w:p w14:paraId="2262304B"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23D0478" w14:textId="77777777" w:rsidTr="0065447C">
        <w:trPr>
          <w:trHeight w:val="677"/>
          <w:jc w:val="center"/>
        </w:trPr>
        <w:tc>
          <w:tcPr>
            <w:tcW w:w="7797" w:type="dxa"/>
            <w:vAlign w:val="center"/>
          </w:tcPr>
          <w:p w14:paraId="5149999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Splnění všech ostatních závazných podmínek předepsaných platnou legislativou.</w:t>
            </w:r>
          </w:p>
        </w:tc>
        <w:tc>
          <w:tcPr>
            <w:tcW w:w="1842" w:type="dxa"/>
            <w:vAlign w:val="center"/>
          </w:tcPr>
          <w:p w14:paraId="0F96AB79"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9E13C53" w14:textId="77777777" w:rsidR="0065447C" w:rsidRPr="00DC2021" w:rsidRDefault="0065447C" w:rsidP="00F15BA6">
      <w:pPr>
        <w:pStyle w:val="Nadpis2"/>
        <w:spacing w:before="240"/>
        <w:rPr>
          <w:rFonts w:asciiTheme="minorHAnsi" w:hAnsiTheme="minorHAnsi"/>
          <w:sz w:val="28"/>
          <w:szCs w:val="28"/>
        </w:rPr>
      </w:pPr>
    </w:p>
    <w:sectPr w:rsidR="0065447C" w:rsidRPr="00DC2021"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B276A1" w14:textId="77777777" w:rsidR="003D3BE4" w:rsidRDefault="003D3BE4">
      <w:r>
        <w:separator/>
      </w:r>
    </w:p>
  </w:endnote>
  <w:endnote w:type="continuationSeparator" w:id="0">
    <w:p w14:paraId="2DEC8B2E" w14:textId="77777777" w:rsidR="003D3BE4" w:rsidRDefault="003D3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2"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1C38BC55" w14:textId="5B1F0D9C" w:rsidR="000C4921" w:rsidRPr="00CA2983" w:rsidRDefault="000C4921"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Pr="0019452C">
          <w:rPr>
            <w:rFonts w:ascii="Calibri" w:hAnsi="Calibri" w:cs="Calibri"/>
            <w:szCs w:val="20"/>
          </w:rPr>
          <w:t xml:space="preserve">Modernizace přístrojů a vybavení </w:t>
        </w:r>
        <w:r>
          <w:rPr>
            <w:rFonts w:ascii="Calibri" w:hAnsi="Calibri" w:cs="Calibri"/>
            <w:szCs w:val="20"/>
          </w:rPr>
          <w:t xml:space="preserve">pro </w:t>
        </w:r>
        <w:r w:rsidR="006473E4">
          <w:rPr>
            <w:rFonts w:ascii="Calibri" w:hAnsi="Calibri" w:cs="Calibri"/>
            <w:szCs w:val="20"/>
          </w:rPr>
          <w:t>operačních sálů</w:t>
        </w:r>
        <w:r w:rsidRPr="00CA2983">
          <w:rPr>
            <w:rFonts w:ascii="Calibri" w:hAnsi="Calibri" w:cs="Calibri"/>
            <w:szCs w:val="20"/>
          </w:rPr>
          <w:t xml:space="preserve">“, </w:t>
        </w:r>
      </w:p>
      <w:p w14:paraId="479DD3BB" w14:textId="74335E3E" w:rsidR="000C4921" w:rsidRPr="00CA2983" w:rsidRDefault="000C4921" w:rsidP="00CA2983">
        <w:pPr>
          <w:pStyle w:val="Zpat"/>
          <w:tabs>
            <w:tab w:val="left" w:pos="6330"/>
            <w:tab w:val="right" w:pos="9864"/>
          </w:tabs>
          <w:rPr>
            <w:rFonts w:ascii="Calibri" w:hAnsi="Calibri" w:cs="Calibri"/>
            <w:szCs w:val="20"/>
          </w:rPr>
        </w:pPr>
        <w:proofErr w:type="spellStart"/>
        <w:r w:rsidRPr="00CA2983">
          <w:rPr>
            <w:rFonts w:ascii="Calibri" w:hAnsi="Calibri" w:cs="Calibri"/>
            <w:szCs w:val="20"/>
          </w:rPr>
          <w:t>reg</w:t>
        </w:r>
        <w:proofErr w:type="spellEnd"/>
        <w:r w:rsidRPr="00CA2983">
          <w:rPr>
            <w:rFonts w:ascii="Calibri" w:hAnsi="Calibri" w:cs="Calibri"/>
            <w:szCs w:val="20"/>
          </w:rPr>
          <w:t>. č. CZ.06.2.56/0.0/0.0/16_043/00015</w:t>
        </w:r>
        <w:r w:rsidR="006473E4">
          <w:rPr>
            <w:rFonts w:ascii="Calibri" w:hAnsi="Calibri" w:cs="Calibri"/>
            <w:szCs w:val="20"/>
          </w:rPr>
          <w:t>49</w:t>
        </w:r>
        <w:r w:rsidRPr="00CA2983">
          <w:rPr>
            <w:rFonts w:ascii="Calibri" w:hAnsi="Calibri" w:cs="Calibri"/>
            <w:szCs w:val="20"/>
          </w:rPr>
          <w:t xml:space="preserve">                                                                             </w:t>
        </w:r>
      </w:p>
      <w:p w14:paraId="0CD09862" w14:textId="77777777" w:rsidR="000C4921" w:rsidRDefault="000C4921" w:rsidP="00CA2983">
        <w:pPr>
          <w:pStyle w:val="Zpat"/>
        </w:pPr>
        <w:r w:rsidRPr="00CA2983">
          <w:rPr>
            <w:rFonts w:ascii="Calibri" w:hAnsi="Calibri" w:cs="Calibri"/>
            <w:b/>
            <w:szCs w:val="20"/>
          </w:rPr>
          <w:t xml:space="preserve">Tento projekt je spolufinancován Evropskou unií z Evropského fondu pro regionální rozvoj. </w:t>
        </w:r>
        <w:bookmarkEnd w:id="2"/>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3972AD36" w14:textId="77777777" w:rsidR="000C4921" w:rsidRPr="00855DB3" w:rsidRDefault="000C4921"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C856A4" w14:textId="77777777" w:rsidR="003D3BE4" w:rsidRDefault="003D3BE4">
      <w:r>
        <w:separator/>
      </w:r>
    </w:p>
  </w:footnote>
  <w:footnote w:type="continuationSeparator" w:id="0">
    <w:p w14:paraId="72E034AF" w14:textId="77777777" w:rsidR="003D3BE4" w:rsidRDefault="003D3B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C6C85" w14:textId="77777777" w:rsidR="000C4921" w:rsidRDefault="000C4921" w:rsidP="00C95D5F">
    <w:pPr>
      <w:pStyle w:val="Zhlav"/>
      <w:jc w:val="both"/>
    </w:pPr>
    <w:r>
      <w:rPr>
        <w:noProof/>
      </w:rPr>
      <w:drawing>
        <wp:anchor distT="0" distB="0" distL="114300" distR="114300" simplePos="0" relativeHeight="251658240" behindDoc="0" locked="0" layoutInCell="1" allowOverlap="1" wp14:anchorId="5E31B422" wp14:editId="33D86D3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10E1DFC6" wp14:editId="445262C8">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24459"/>
    <w:multiLevelType w:val="hybridMultilevel"/>
    <w:tmpl w:val="36CA6416"/>
    <w:lvl w:ilvl="0" w:tplc="7234AA98">
      <w:start w:val="40"/>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6"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2"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4"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2"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3"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4"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0"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4"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9"/>
  </w:num>
  <w:num w:numId="3">
    <w:abstractNumId w:val="34"/>
  </w:num>
  <w:num w:numId="4">
    <w:abstractNumId w:val="13"/>
  </w:num>
  <w:num w:numId="5">
    <w:abstractNumId w:val="7"/>
  </w:num>
  <w:num w:numId="6">
    <w:abstractNumId w:val="15"/>
  </w:num>
  <w:num w:numId="7">
    <w:abstractNumId w:val="15"/>
  </w:num>
  <w:num w:numId="8">
    <w:abstractNumId w:val="33"/>
  </w:num>
  <w:num w:numId="9">
    <w:abstractNumId w:val="2"/>
  </w:num>
  <w:num w:numId="10">
    <w:abstractNumId w:val="26"/>
  </w:num>
  <w:num w:numId="11">
    <w:abstractNumId w:val="24"/>
  </w:num>
  <w:num w:numId="12">
    <w:abstractNumId w:val="31"/>
  </w:num>
  <w:num w:numId="13">
    <w:abstractNumId w:val="8"/>
  </w:num>
  <w:num w:numId="14">
    <w:abstractNumId w:val="28"/>
  </w:num>
  <w:num w:numId="15">
    <w:abstractNumId w:val="30"/>
  </w:num>
  <w:num w:numId="16">
    <w:abstractNumId w:val="16"/>
  </w:num>
  <w:num w:numId="17">
    <w:abstractNumId w:val="21"/>
  </w:num>
  <w:num w:numId="18">
    <w:abstractNumId w:val="10"/>
  </w:num>
  <w:num w:numId="19">
    <w:abstractNumId w:val="25"/>
  </w:num>
  <w:num w:numId="20">
    <w:abstractNumId w:val="32"/>
  </w:num>
  <w:num w:numId="21">
    <w:abstractNumId w:val="23"/>
  </w:num>
  <w:num w:numId="22">
    <w:abstractNumId w:val="5"/>
  </w:num>
  <w:num w:numId="23">
    <w:abstractNumId w:val="9"/>
  </w:num>
  <w:num w:numId="24">
    <w:abstractNumId w:val="22"/>
  </w:num>
  <w:num w:numId="25">
    <w:abstractNumId w:val="27"/>
  </w:num>
  <w:num w:numId="26">
    <w:abstractNumId w:val="18"/>
  </w:num>
  <w:num w:numId="27">
    <w:abstractNumId w:val="11"/>
  </w:num>
  <w:num w:numId="28">
    <w:abstractNumId w:val="0"/>
  </w:num>
  <w:num w:numId="29">
    <w:abstractNumId w:val="6"/>
  </w:num>
  <w:num w:numId="30">
    <w:abstractNumId w:val="4"/>
  </w:num>
  <w:num w:numId="31">
    <w:abstractNumId w:val="14"/>
  </w:num>
  <w:num w:numId="32">
    <w:abstractNumId w:val="12"/>
  </w:num>
  <w:num w:numId="33">
    <w:abstractNumId w:val="20"/>
  </w:num>
  <w:num w:numId="34">
    <w:abstractNumId w:val="19"/>
  </w:num>
  <w:num w:numId="35">
    <w:abstractNumId w:val="17"/>
  </w:num>
  <w:num w:numId="3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7F49"/>
    <w:rsid w:val="00035A0E"/>
    <w:rsid w:val="0003624C"/>
    <w:rsid w:val="000437B4"/>
    <w:rsid w:val="000448C7"/>
    <w:rsid w:val="00052D89"/>
    <w:rsid w:val="000645CC"/>
    <w:rsid w:val="000673C8"/>
    <w:rsid w:val="0006781A"/>
    <w:rsid w:val="00074528"/>
    <w:rsid w:val="0008180C"/>
    <w:rsid w:val="0008758E"/>
    <w:rsid w:val="00094F6C"/>
    <w:rsid w:val="0009503C"/>
    <w:rsid w:val="000970C0"/>
    <w:rsid w:val="000A1ECC"/>
    <w:rsid w:val="000A20C8"/>
    <w:rsid w:val="000A3B26"/>
    <w:rsid w:val="000B179B"/>
    <w:rsid w:val="000B1A5F"/>
    <w:rsid w:val="000B3193"/>
    <w:rsid w:val="000C1F62"/>
    <w:rsid w:val="000C1FBC"/>
    <w:rsid w:val="000C28E6"/>
    <w:rsid w:val="000C4921"/>
    <w:rsid w:val="000C6A3F"/>
    <w:rsid w:val="000C71E4"/>
    <w:rsid w:val="000D436E"/>
    <w:rsid w:val="000E1014"/>
    <w:rsid w:val="000E686D"/>
    <w:rsid w:val="000F1446"/>
    <w:rsid w:val="000F24DE"/>
    <w:rsid w:val="000F486F"/>
    <w:rsid w:val="001036F7"/>
    <w:rsid w:val="00111FF7"/>
    <w:rsid w:val="00117AD9"/>
    <w:rsid w:val="001258AB"/>
    <w:rsid w:val="00125E54"/>
    <w:rsid w:val="00127285"/>
    <w:rsid w:val="001336D2"/>
    <w:rsid w:val="00136081"/>
    <w:rsid w:val="001417A7"/>
    <w:rsid w:val="001539EB"/>
    <w:rsid w:val="001770B9"/>
    <w:rsid w:val="00185540"/>
    <w:rsid w:val="00191ADF"/>
    <w:rsid w:val="0019452C"/>
    <w:rsid w:val="00197A5B"/>
    <w:rsid w:val="001A38CB"/>
    <w:rsid w:val="001A75A1"/>
    <w:rsid w:val="001B63F1"/>
    <w:rsid w:val="001D1372"/>
    <w:rsid w:val="001D3BFB"/>
    <w:rsid w:val="001E427D"/>
    <w:rsid w:val="001F2952"/>
    <w:rsid w:val="00205BFD"/>
    <w:rsid w:val="00205EE2"/>
    <w:rsid w:val="00214C1D"/>
    <w:rsid w:val="00226F44"/>
    <w:rsid w:val="002476E6"/>
    <w:rsid w:val="00252B43"/>
    <w:rsid w:val="002666F5"/>
    <w:rsid w:val="00280A80"/>
    <w:rsid w:val="002A27EE"/>
    <w:rsid w:val="002A2DF2"/>
    <w:rsid w:val="002B39F1"/>
    <w:rsid w:val="002B6A70"/>
    <w:rsid w:val="002C543B"/>
    <w:rsid w:val="002C5A20"/>
    <w:rsid w:val="002D0847"/>
    <w:rsid w:val="002D4509"/>
    <w:rsid w:val="002E5F2E"/>
    <w:rsid w:val="002E6F56"/>
    <w:rsid w:val="00303205"/>
    <w:rsid w:val="0031657C"/>
    <w:rsid w:val="003448C0"/>
    <w:rsid w:val="003453C1"/>
    <w:rsid w:val="00345B5A"/>
    <w:rsid w:val="00361D5A"/>
    <w:rsid w:val="00381B11"/>
    <w:rsid w:val="003846F9"/>
    <w:rsid w:val="00393D4B"/>
    <w:rsid w:val="00393D63"/>
    <w:rsid w:val="003B40D7"/>
    <w:rsid w:val="003B457E"/>
    <w:rsid w:val="003B4A14"/>
    <w:rsid w:val="003D1E77"/>
    <w:rsid w:val="003D3BE4"/>
    <w:rsid w:val="003D434D"/>
    <w:rsid w:val="003D5973"/>
    <w:rsid w:val="003D5FC2"/>
    <w:rsid w:val="003E5E6D"/>
    <w:rsid w:val="004001AC"/>
    <w:rsid w:val="004006C4"/>
    <w:rsid w:val="00411483"/>
    <w:rsid w:val="00415684"/>
    <w:rsid w:val="00426B74"/>
    <w:rsid w:val="004521F2"/>
    <w:rsid w:val="00453625"/>
    <w:rsid w:val="0045612A"/>
    <w:rsid w:val="00464365"/>
    <w:rsid w:val="00470C30"/>
    <w:rsid w:val="0047221C"/>
    <w:rsid w:val="00472A28"/>
    <w:rsid w:val="00474C72"/>
    <w:rsid w:val="004838A7"/>
    <w:rsid w:val="004A1D1C"/>
    <w:rsid w:val="004A3D79"/>
    <w:rsid w:val="004C57F4"/>
    <w:rsid w:val="004C65DC"/>
    <w:rsid w:val="004C7980"/>
    <w:rsid w:val="004D06DC"/>
    <w:rsid w:val="004D2DB6"/>
    <w:rsid w:val="004E66BE"/>
    <w:rsid w:val="004F5479"/>
    <w:rsid w:val="004F69D1"/>
    <w:rsid w:val="00504A9F"/>
    <w:rsid w:val="00521903"/>
    <w:rsid w:val="0052737D"/>
    <w:rsid w:val="00531FC6"/>
    <w:rsid w:val="00532663"/>
    <w:rsid w:val="005329B0"/>
    <w:rsid w:val="00540CBD"/>
    <w:rsid w:val="00542225"/>
    <w:rsid w:val="0054515C"/>
    <w:rsid w:val="0054628A"/>
    <w:rsid w:val="0056576E"/>
    <w:rsid w:val="00567235"/>
    <w:rsid w:val="00572533"/>
    <w:rsid w:val="005870F2"/>
    <w:rsid w:val="005B06FC"/>
    <w:rsid w:val="005B2A93"/>
    <w:rsid w:val="005C6500"/>
    <w:rsid w:val="005D05E0"/>
    <w:rsid w:val="005D6FB3"/>
    <w:rsid w:val="005E15EB"/>
    <w:rsid w:val="005E1A2C"/>
    <w:rsid w:val="005E1CA1"/>
    <w:rsid w:val="005E4AB6"/>
    <w:rsid w:val="005E53D1"/>
    <w:rsid w:val="005F0EF4"/>
    <w:rsid w:val="00600F8C"/>
    <w:rsid w:val="00601065"/>
    <w:rsid w:val="006028C9"/>
    <w:rsid w:val="00602A33"/>
    <w:rsid w:val="00604638"/>
    <w:rsid w:val="00605642"/>
    <w:rsid w:val="00607DA1"/>
    <w:rsid w:val="00615491"/>
    <w:rsid w:val="006177BE"/>
    <w:rsid w:val="00620CA2"/>
    <w:rsid w:val="0062603D"/>
    <w:rsid w:val="0063056C"/>
    <w:rsid w:val="00633091"/>
    <w:rsid w:val="006370F4"/>
    <w:rsid w:val="00637A1A"/>
    <w:rsid w:val="00637E1C"/>
    <w:rsid w:val="006466FD"/>
    <w:rsid w:val="006473E4"/>
    <w:rsid w:val="006518A6"/>
    <w:rsid w:val="00652279"/>
    <w:rsid w:val="00654188"/>
    <w:rsid w:val="0065447C"/>
    <w:rsid w:val="00662654"/>
    <w:rsid w:val="006639EB"/>
    <w:rsid w:val="0067650B"/>
    <w:rsid w:val="006936B5"/>
    <w:rsid w:val="006B1A3A"/>
    <w:rsid w:val="006C09D7"/>
    <w:rsid w:val="006D049A"/>
    <w:rsid w:val="006E5A2E"/>
    <w:rsid w:val="006F12A7"/>
    <w:rsid w:val="006F6461"/>
    <w:rsid w:val="00703424"/>
    <w:rsid w:val="0071402B"/>
    <w:rsid w:val="0071532A"/>
    <w:rsid w:val="00716461"/>
    <w:rsid w:val="007230A6"/>
    <w:rsid w:val="0073070F"/>
    <w:rsid w:val="007341AA"/>
    <w:rsid w:val="00734201"/>
    <w:rsid w:val="00743AC9"/>
    <w:rsid w:val="00756D6D"/>
    <w:rsid w:val="0075721B"/>
    <w:rsid w:val="00767CC9"/>
    <w:rsid w:val="00783B7D"/>
    <w:rsid w:val="007B6C29"/>
    <w:rsid w:val="007D1C73"/>
    <w:rsid w:val="007D591C"/>
    <w:rsid w:val="007D5D9B"/>
    <w:rsid w:val="007E7126"/>
    <w:rsid w:val="007F59FE"/>
    <w:rsid w:val="007F694D"/>
    <w:rsid w:val="007F795F"/>
    <w:rsid w:val="00804134"/>
    <w:rsid w:val="00806E1F"/>
    <w:rsid w:val="00814870"/>
    <w:rsid w:val="0081601A"/>
    <w:rsid w:val="008379B1"/>
    <w:rsid w:val="00842F61"/>
    <w:rsid w:val="00843B0E"/>
    <w:rsid w:val="00855DB3"/>
    <w:rsid w:val="00861184"/>
    <w:rsid w:val="008614C0"/>
    <w:rsid w:val="00867642"/>
    <w:rsid w:val="008710C5"/>
    <w:rsid w:val="00885758"/>
    <w:rsid w:val="00885D17"/>
    <w:rsid w:val="00890047"/>
    <w:rsid w:val="008B1CD4"/>
    <w:rsid w:val="008D7A6F"/>
    <w:rsid w:val="008E1D92"/>
    <w:rsid w:val="00905E90"/>
    <w:rsid w:val="00907E39"/>
    <w:rsid w:val="00941E60"/>
    <w:rsid w:val="00942F42"/>
    <w:rsid w:val="00965992"/>
    <w:rsid w:val="009673F6"/>
    <w:rsid w:val="009751AA"/>
    <w:rsid w:val="00985725"/>
    <w:rsid w:val="0098671F"/>
    <w:rsid w:val="0099223B"/>
    <w:rsid w:val="00994611"/>
    <w:rsid w:val="009A239C"/>
    <w:rsid w:val="009A2616"/>
    <w:rsid w:val="009B4D26"/>
    <w:rsid w:val="009B4E45"/>
    <w:rsid w:val="009C0B4C"/>
    <w:rsid w:val="009D3720"/>
    <w:rsid w:val="009E189C"/>
    <w:rsid w:val="00A075F1"/>
    <w:rsid w:val="00A37633"/>
    <w:rsid w:val="00A37710"/>
    <w:rsid w:val="00A43621"/>
    <w:rsid w:val="00A45ABD"/>
    <w:rsid w:val="00A537FA"/>
    <w:rsid w:val="00A70EB3"/>
    <w:rsid w:val="00A72488"/>
    <w:rsid w:val="00A7653E"/>
    <w:rsid w:val="00A811DD"/>
    <w:rsid w:val="00A8362D"/>
    <w:rsid w:val="00A837CA"/>
    <w:rsid w:val="00A87292"/>
    <w:rsid w:val="00A9026B"/>
    <w:rsid w:val="00A91526"/>
    <w:rsid w:val="00A9506A"/>
    <w:rsid w:val="00AB14BC"/>
    <w:rsid w:val="00AC3F9C"/>
    <w:rsid w:val="00AD7DB4"/>
    <w:rsid w:val="00AE0A9A"/>
    <w:rsid w:val="00AF7B87"/>
    <w:rsid w:val="00B01362"/>
    <w:rsid w:val="00B04151"/>
    <w:rsid w:val="00B07A78"/>
    <w:rsid w:val="00B10101"/>
    <w:rsid w:val="00B3451E"/>
    <w:rsid w:val="00B360D1"/>
    <w:rsid w:val="00B429BE"/>
    <w:rsid w:val="00B471A0"/>
    <w:rsid w:val="00B53DAE"/>
    <w:rsid w:val="00B56957"/>
    <w:rsid w:val="00BB0C56"/>
    <w:rsid w:val="00BB2159"/>
    <w:rsid w:val="00BB40AC"/>
    <w:rsid w:val="00BD6D27"/>
    <w:rsid w:val="00BF57F9"/>
    <w:rsid w:val="00C04ADE"/>
    <w:rsid w:val="00C10A7D"/>
    <w:rsid w:val="00C16503"/>
    <w:rsid w:val="00C37F21"/>
    <w:rsid w:val="00C4498B"/>
    <w:rsid w:val="00C57F86"/>
    <w:rsid w:val="00C62F2E"/>
    <w:rsid w:val="00C64F47"/>
    <w:rsid w:val="00C723C2"/>
    <w:rsid w:val="00C81860"/>
    <w:rsid w:val="00C95843"/>
    <w:rsid w:val="00C95D5F"/>
    <w:rsid w:val="00CA0D86"/>
    <w:rsid w:val="00CA2983"/>
    <w:rsid w:val="00CA49BB"/>
    <w:rsid w:val="00CA51FC"/>
    <w:rsid w:val="00CA538B"/>
    <w:rsid w:val="00CB3512"/>
    <w:rsid w:val="00CC3064"/>
    <w:rsid w:val="00CD382E"/>
    <w:rsid w:val="00CD3A9C"/>
    <w:rsid w:val="00CD65B0"/>
    <w:rsid w:val="00CE02B0"/>
    <w:rsid w:val="00CE32A8"/>
    <w:rsid w:val="00CF60CC"/>
    <w:rsid w:val="00D07B2A"/>
    <w:rsid w:val="00D14FCA"/>
    <w:rsid w:val="00D21719"/>
    <w:rsid w:val="00D241F8"/>
    <w:rsid w:val="00D33243"/>
    <w:rsid w:val="00D3510F"/>
    <w:rsid w:val="00D36304"/>
    <w:rsid w:val="00D370BE"/>
    <w:rsid w:val="00D42818"/>
    <w:rsid w:val="00D431D5"/>
    <w:rsid w:val="00D43214"/>
    <w:rsid w:val="00D5247B"/>
    <w:rsid w:val="00D62E8D"/>
    <w:rsid w:val="00D70BF0"/>
    <w:rsid w:val="00D72049"/>
    <w:rsid w:val="00D7314B"/>
    <w:rsid w:val="00D876D7"/>
    <w:rsid w:val="00D928D0"/>
    <w:rsid w:val="00D963DD"/>
    <w:rsid w:val="00DA57E0"/>
    <w:rsid w:val="00DC2021"/>
    <w:rsid w:val="00DC5760"/>
    <w:rsid w:val="00DD3ACF"/>
    <w:rsid w:val="00DD71BB"/>
    <w:rsid w:val="00DE3E17"/>
    <w:rsid w:val="00E14675"/>
    <w:rsid w:val="00E20099"/>
    <w:rsid w:val="00E25961"/>
    <w:rsid w:val="00E25E2C"/>
    <w:rsid w:val="00E3244D"/>
    <w:rsid w:val="00E327B4"/>
    <w:rsid w:val="00E600E7"/>
    <w:rsid w:val="00E640CE"/>
    <w:rsid w:val="00E65FC7"/>
    <w:rsid w:val="00E70BD0"/>
    <w:rsid w:val="00E73FAD"/>
    <w:rsid w:val="00E753DD"/>
    <w:rsid w:val="00E864C9"/>
    <w:rsid w:val="00EA5D2F"/>
    <w:rsid w:val="00EB28FB"/>
    <w:rsid w:val="00EB3567"/>
    <w:rsid w:val="00EB6305"/>
    <w:rsid w:val="00ED1886"/>
    <w:rsid w:val="00EE0F79"/>
    <w:rsid w:val="00EE1E0E"/>
    <w:rsid w:val="00F011A6"/>
    <w:rsid w:val="00F03861"/>
    <w:rsid w:val="00F05A17"/>
    <w:rsid w:val="00F069C9"/>
    <w:rsid w:val="00F14182"/>
    <w:rsid w:val="00F15BA6"/>
    <w:rsid w:val="00F16700"/>
    <w:rsid w:val="00F22CB7"/>
    <w:rsid w:val="00F42F2C"/>
    <w:rsid w:val="00F45432"/>
    <w:rsid w:val="00F458FA"/>
    <w:rsid w:val="00F63C45"/>
    <w:rsid w:val="00F66DDD"/>
    <w:rsid w:val="00F70C37"/>
    <w:rsid w:val="00F82091"/>
    <w:rsid w:val="00F935F7"/>
    <w:rsid w:val="00FA0309"/>
    <w:rsid w:val="00FB0179"/>
    <w:rsid w:val="00FB4C27"/>
    <w:rsid w:val="00FB55EE"/>
    <w:rsid w:val="00FE368B"/>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822A9F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 w:type="paragraph" w:styleId="Pedmtkomente">
    <w:name w:val="annotation subject"/>
    <w:basedOn w:val="Textkomente"/>
    <w:next w:val="Textkomente"/>
    <w:link w:val="PedmtkomenteChar"/>
    <w:uiPriority w:val="99"/>
    <w:semiHidden/>
    <w:unhideWhenUsed/>
    <w:rsid w:val="003B457E"/>
    <w:pPr>
      <w:spacing w:after="0"/>
    </w:pPr>
    <w:rPr>
      <w:rFonts w:ascii="Arial" w:hAnsi="Arial"/>
      <w:b/>
      <w:bCs/>
      <w:lang w:eastAsia="cs-CZ"/>
    </w:rPr>
  </w:style>
  <w:style w:type="character" w:customStyle="1" w:styleId="PedmtkomenteChar">
    <w:name w:val="Předmět komentáře Char"/>
    <w:basedOn w:val="TextkomenteChar"/>
    <w:link w:val="Pedmtkomente"/>
    <w:uiPriority w:val="99"/>
    <w:semiHidden/>
    <w:rsid w:val="003B457E"/>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82626-BE1F-492F-9EA6-D6BB892B7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4</Pages>
  <Words>866</Words>
  <Characters>5110</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7</cp:revision>
  <dcterms:created xsi:type="dcterms:W3CDTF">2020-08-03T13:24:00Z</dcterms:created>
  <dcterms:modified xsi:type="dcterms:W3CDTF">2020-08-12T20:28:00Z</dcterms:modified>
</cp:coreProperties>
</file>